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6E4BF" w14:textId="77777777" w:rsidR="00742134" w:rsidRPr="00A37378" w:rsidRDefault="00E958BB" w:rsidP="00742134">
      <w:pPr>
        <w:spacing w:line="276" w:lineRule="auto"/>
        <w:jc w:val="center"/>
        <w:rPr>
          <w:rFonts w:ascii="Sylfaen" w:hAnsi="Sylfaen"/>
          <w:b/>
          <w:szCs w:val="20"/>
        </w:rPr>
      </w:pPr>
      <w:r w:rsidRPr="00A37378">
        <w:rPr>
          <w:rFonts w:ascii="Sylfaen" w:hAnsi="Sylfaen"/>
          <w:b/>
          <w:szCs w:val="20"/>
          <w:lang w:val="ka-GE"/>
        </w:rPr>
        <w:t>ინფორმაცია</w:t>
      </w:r>
    </w:p>
    <w:p w14:paraId="6C424F8C" w14:textId="77777777" w:rsidR="00742134" w:rsidRPr="00A37378" w:rsidRDefault="00742134" w:rsidP="00A37378">
      <w:pPr>
        <w:jc w:val="center"/>
        <w:rPr>
          <w:rFonts w:ascii="Sylfaen" w:hAnsi="Sylfaen"/>
          <w:b/>
          <w:szCs w:val="20"/>
          <w:lang w:val="ka-GE"/>
        </w:rPr>
      </w:pPr>
      <w:r w:rsidRPr="00A37378">
        <w:rPr>
          <w:rFonts w:ascii="Sylfaen" w:hAnsi="Sylfaen"/>
          <w:b/>
          <w:szCs w:val="20"/>
        </w:rPr>
        <w:t>„</w:t>
      </w:r>
      <w:proofErr w:type="spellStart"/>
      <w:r w:rsidRPr="00A37378">
        <w:rPr>
          <w:rFonts w:ascii="Sylfaen" w:hAnsi="Sylfaen"/>
          <w:b/>
          <w:szCs w:val="20"/>
        </w:rPr>
        <w:t>სახელმწიფო</w:t>
      </w:r>
      <w:proofErr w:type="spellEnd"/>
      <w:r w:rsidRPr="00A37378">
        <w:rPr>
          <w:rFonts w:ascii="Sylfaen" w:hAnsi="Sylfaen"/>
          <w:b/>
          <w:szCs w:val="20"/>
        </w:rPr>
        <w:t xml:space="preserve"> </w:t>
      </w:r>
      <w:proofErr w:type="spellStart"/>
      <w:r w:rsidRPr="00A37378">
        <w:rPr>
          <w:rFonts w:ascii="Sylfaen" w:hAnsi="Sylfaen"/>
          <w:b/>
          <w:szCs w:val="20"/>
        </w:rPr>
        <w:t>აუდიტის</w:t>
      </w:r>
      <w:proofErr w:type="spellEnd"/>
      <w:r w:rsidRPr="00A37378">
        <w:rPr>
          <w:rFonts w:ascii="Sylfaen" w:hAnsi="Sylfaen"/>
          <w:b/>
          <w:szCs w:val="20"/>
        </w:rPr>
        <w:t xml:space="preserve"> </w:t>
      </w:r>
      <w:proofErr w:type="spellStart"/>
      <w:r w:rsidRPr="00A37378">
        <w:rPr>
          <w:rFonts w:ascii="Sylfaen" w:hAnsi="Sylfaen"/>
          <w:b/>
          <w:szCs w:val="20"/>
        </w:rPr>
        <w:t>სამსახურის</w:t>
      </w:r>
      <w:proofErr w:type="spellEnd"/>
      <w:r w:rsidRPr="00A37378">
        <w:rPr>
          <w:rFonts w:ascii="Sylfaen" w:hAnsi="Sylfaen"/>
          <w:b/>
          <w:szCs w:val="20"/>
        </w:rPr>
        <w:t xml:space="preserve"> </w:t>
      </w:r>
      <w:proofErr w:type="spellStart"/>
      <w:r w:rsidRPr="00A37378">
        <w:rPr>
          <w:rFonts w:ascii="Sylfaen" w:hAnsi="Sylfaen"/>
          <w:b/>
          <w:szCs w:val="20"/>
        </w:rPr>
        <w:t>მიერ</w:t>
      </w:r>
      <w:proofErr w:type="spellEnd"/>
      <w:r w:rsidRPr="00A37378">
        <w:rPr>
          <w:rFonts w:ascii="Sylfaen" w:hAnsi="Sylfaen"/>
          <w:b/>
          <w:szCs w:val="20"/>
        </w:rPr>
        <w:t xml:space="preserve"> </w:t>
      </w:r>
      <w:proofErr w:type="spellStart"/>
      <w:r w:rsidRPr="00A37378">
        <w:rPr>
          <w:rFonts w:ascii="Sylfaen" w:hAnsi="Sylfaen"/>
          <w:b/>
          <w:szCs w:val="20"/>
        </w:rPr>
        <w:t>საქართველოს</w:t>
      </w:r>
      <w:proofErr w:type="spellEnd"/>
      <w:r w:rsidR="00C543A3">
        <w:rPr>
          <w:rFonts w:ascii="Sylfaen" w:hAnsi="Sylfaen"/>
          <w:b/>
          <w:szCs w:val="20"/>
        </w:rPr>
        <w:t xml:space="preserve"> 2023</w:t>
      </w:r>
      <w:r w:rsidRPr="00A37378">
        <w:rPr>
          <w:rFonts w:ascii="Sylfaen" w:hAnsi="Sylfaen"/>
          <w:b/>
          <w:szCs w:val="20"/>
        </w:rPr>
        <w:t xml:space="preserve"> </w:t>
      </w:r>
      <w:proofErr w:type="spellStart"/>
      <w:r w:rsidRPr="00A37378">
        <w:rPr>
          <w:rFonts w:ascii="Sylfaen" w:hAnsi="Sylfaen"/>
          <w:b/>
          <w:szCs w:val="20"/>
        </w:rPr>
        <w:t>წლის</w:t>
      </w:r>
      <w:proofErr w:type="spellEnd"/>
      <w:r w:rsidRPr="00A37378">
        <w:rPr>
          <w:rFonts w:ascii="Sylfaen" w:hAnsi="Sylfaen"/>
          <w:b/>
          <w:szCs w:val="20"/>
        </w:rPr>
        <w:t xml:space="preserve"> </w:t>
      </w:r>
      <w:proofErr w:type="spellStart"/>
      <w:r w:rsidRPr="00A37378">
        <w:rPr>
          <w:rFonts w:ascii="Sylfaen" w:hAnsi="Sylfaen"/>
          <w:b/>
          <w:szCs w:val="20"/>
        </w:rPr>
        <w:t>სახელმწიფო</w:t>
      </w:r>
      <w:proofErr w:type="spellEnd"/>
      <w:r w:rsidRPr="00A37378">
        <w:rPr>
          <w:rFonts w:ascii="Sylfaen" w:hAnsi="Sylfaen"/>
          <w:b/>
          <w:szCs w:val="20"/>
        </w:rPr>
        <w:t xml:space="preserve"> </w:t>
      </w:r>
      <w:proofErr w:type="spellStart"/>
      <w:r w:rsidRPr="00A37378">
        <w:rPr>
          <w:rFonts w:ascii="Sylfaen" w:hAnsi="Sylfaen"/>
          <w:b/>
          <w:szCs w:val="20"/>
        </w:rPr>
        <w:t>ბიუჯეტის</w:t>
      </w:r>
      <w:proofErr w:type="spellEnd"/>
      <w:r w:rsidRPr="00A37378">
        <w:rPr>
          <w:rFonts w:ascii="Sylfaen" w:hAnsi="Sylfaen"/>
          <w:b/>
          <w:szCs w:val="20"/>
        </w:rPr>
        <w:t xml:space="preserve"> </w:t>
      </w:r>
      <w:proofErr w:type="spellStart"/>
      <w:r w:rsidRPr="00A37378">
        <w:rPr>
          <w:rFonts w:ascii="Sylfaen" w:hAnsi="Sylfaen"/>
          <w:b/>
          <w:szCs w:val="20"/>
        </w:rPr>
        <w:t>შესრულების</w:t>
      </w:r>
      <w:proofErr w:type="spellEnd"/>
      <w:r w:rsidRPr="00A37378">
        <w:rPr>
          <w:rFonts w:ascii="Sylfaen" w:hAnsi="Sylfaen"/>
          <w:b/>
          <w:szCs w:val="20"/>
        </w:rPr>
        <w:t xml:space="preserve"> </w:t>
      </w:r>
      <w:proofErr w:type="spellStart"/>
      <w:r w:rsidRPr="00A37378">
        <w:rPr>
          <w:rFonts w:ascii="Sylfaen" w:hAnsi="Sylfaen"/>
          <w:b/>
          <w:szCs w:val="20"/>
        </w:rPr>
        <w:t>წლიური</w:t>
      </w:r>
      <w:proofErr w:type="spellEnd"/>
      <w:r w:rsidRPr="00A37378">
        <w:rPr>
          <w:rFonts w:ascii="Sylfaen" w:hAnsi="Sylfaen"/>
          <w:b/>
          <w:szCs w:val="20"/>
        </w:rPr>
        <w:t xml:space="preserve"> </w:t>
      </w:r>
      <w:proofErr w:type="spellStart"/>
      <w:r w:rsidRPr="00A37378">
        <w:rPr>
          <w:rFonts w:ascii="Sylfaen" w:hAnsi="Sylfaen"/>
          <w:b/>
          <w:szCs w:val="20"/>
        </w:rPr>
        <w:t>ანგარიშის</w:t>
      </w:r>
      <w:proofErr w:type="spellEnd"/>
      <w:r w:rsidRPr="00A37378">
        <w:rPr>
          <w:rFonts w:ascii="Sylfaen" w:hAnsi="Sylfaen"/>
          <w:b/>
          <w:szCs w:val="20"/>
        </w:rPr>
        <w:t xml:space="preserve"> </w:t>
      </w:r>
      <w:proofErr w:type="spellStart"/>
      <w:r w:rsidRPr="00A37378">
        <w:rPr>
          <w:rFonts w:ascii="Sylfaen" w:hAnsi="Sylfaen"/>
          <w:b/>
          <w:szCs w:val="20"/>
        </w:rPr>
        <w:t>შესახებ</w:t>
      </w:r>
      <w:proofErr w:type="spellEnd"/>
      <w:r w:rsidRPr="00A37378">
        <w:rPr>
          <w:rFonts w:ascii="Sylfaen" w:hAnsi="Sylfaen"/>
          <w:b/>
          <w:szCs w:val="20"/>
        </w:rPr>
        <w:t xml:space="preserve"> </w:t>
      </w:r>
      <w:proofErr w:type="spellStart"/>
      <w:r w:rsidRPr="00A37378">
        <w:rPr>
          <w:rFonts w:ascii="Sylfaen" w:hAnsi="Sylfaen"/>
          <w:b/>
          <w:szCs w:val="20"/>
        </w:rPr>
        <w:t>მომზადებულ</w:t>
      </w:r>
      <w:proofErr w:type="spellEnd"/>
      <w:r w:rsidRPr="00A37378">
        <w:rPr>
          <w:rFonts w:ascii="Sylfaen" w:hAnsi="Sylfaen"/>
          <w:b/>
          <w:szCs w:val="20"/>
        </w:rPr>
        <w:t xml:space="preserve"> </w:t>
      </w:r>
      <w:proofErr w:type="spellStart"/>
      <w:r w:rsidRPr="00A37378">
        <w:rPr>
          <w:rFonts w:ascii="Sylfaen" w:hAnsi="Sylfaen"/>
          <w:b/>
          <w:szCs w:val="20"/>
        </w:rPr>
        <w:t>მოხსენებაში</w:t>
      </w:r>
      <w:proofErr w:type="spellEnd"/>
      <w:r w:rsidRPr="00A37378">
        <w:rPr>
          <w:rFonts w:ascii="Sylfaen" w:hAnsi="Sylfaen"/>
          <w:b/>
          <w:szCs w:val="20"/>
        </w:rPr>
        <w:t xml:space="preserve"> </w:t>
      </w:r>
      <w:proofErr w:type="spellStart"/>
      <w:r w:rsidRPr="00A37378">
        <w:rPr>
          <w:rFonts w:ascii="Sylfaen" w:hAnsi="Sylfaen"/>
          <w:b/>
          <w:szCs w:val="20"/>
        </w:rPr>
        <w:t>წარმოდგენილი</w:t>
      </w:r>
      <w:proofErr w:type="spellEnd"/>
      <w:r w:rsidRPr="00A37378">
        <w:rPr>
          <w:rFonts w:ascii="Sylfaen" w:hAnsi="Sylfaen"/>
          <w:b/>
          <w:szCs w:val="20"/>
        </w:rPr>
        <w:t xml:space="preserve"> </w:t>
      </w:r>
      <w:proofErr w:type="spellStart"/>
      <w:r w:rsidRPr="00A37378">
        <w:rPr>
          <w:rFonts w:ascii="Sylfaen" w:hAnsi="Sylfaen"/>
          <w:b/>
          <w:szCs w:val="20"/>
        </w:rPr>
        <w:t>შენიშვნებისა</w:t>
      </w:r>
      <w:proofErr w:type="spellEnd"/>
      <w:r w:rsidRPr="00A37378">
        <w:rPr>
          <w:rFonts w:ascii="Sylfaen" w:hAnsi="Sylfaen"/>
          <w:b/>
          <w:szCs w:val="20"/>
        </w:rPr>
        <w:t xml:space="preserve"> </w:t>
      </w:r>
      <w:proofErr w:type="spellStart"/>
      <w:r w:rsidRPr="00A37378">
        <w:rPr>
          <w:rFonts w:ascii="Sylfaen" w:hAnsi="Sylfaen"/>
          <w:b/>
          <w:szCs w:val="20"/>
        </w:rPr>
        <w:t>და</w:t>
      </w:r>
      <w:proofErr w:type="spellEnd"/>
      <w:r w:rsidRPr="00A37378">
        <w:rPr>
          <w:rFonts w:ascii="Sylfaen" w:hAnsi="Sylfaen"/>
          <w:b/>
          <w:szCs w:val="20"/>
        </w:rPr>
        <w:t xml:space="preserve"> </w:t>
      </w:r>
      <w:proofErr w:type="spellStart"/>
      <w:r w:rsidRPr="00A37378">
        <w:rPr>
          <w:rFonts w:ascii="Sylfaen" w:hAnsi="Sylfaen"/>
          <w:b/>
          <w:szCs w:val="20"/>
        </w:rPr>
        <w:t>რეკომენდაციების</w:t>
      </w:r>
      <w:proofErr w:type="spellEnd"/>
      <w:r w:rsidRPr="00A37378">
        <w:rPr>
          <w:rFonts w:ascii="Sylfaen" w:hAnsi="Sylfaen"/>
          <w:b/>
          <w:szCs w:val="20"/>
        </w:rPr>
        <w:t xml:space="preserve"> </w:t>
      </w:r>
      <w:proofErr w:type="spellStart"/>
      <w:r w:rsidRPr="00A37378">
        <w:rPr>
          <w:rFonts w:ascii="Sylfaen" w:hAnsi="Sylfaen"/>
          <w:b/>
          <w:szCs w:val="20"/>
        </w:rPr>
        <w:t>საბიუჯეტო</w:t>
      </w:r>
      <w:proofErr w:type="spellEnd"/>
      <w:r w:rsidRPr="00A37378">
        <w:rPr>
          <w:rFonts w:ascii="Sylfaen" w:hAnsi="Sylfaen"/>
          <w:b/>
          <w:szCs w:val="20"/>
        </w:rPr>
        <w:t xml:space="preserve"> </w:t>
      </w:r>
      <w:proofErr w:type="spellStart"/>
      <w:r w:rsidRPr="00A37378">
        <w:rPr>
          <w:rFonts w:ascii="Sylfaen" w:hAnsi="Sylfaen"/>
          <w:b/>
          <w:szCs w:val="20"/>
        </w:rPr>
        <w:t>პროცესში</w:t>
      </w:r>
      <w:proofErr w:type="spellEnd"/>
      <w:r w:rsidRPr="00A37378">
        <w:rPr>
          <w:rFonts w:ascii="Sylfaen" w:hAnsi="Sylfaen"/>
          <w:b/>
          <w:szCs w:val="20"/>
        </w:rPr>
        <w:t xml:space="preserve"> </w:t>
      </w:r>
      <w:proofErr w:type="spellStart"/>
      <w:r w:rsidRPr="00A37378">
        <w:rPr>
          <w:rFonts w:ascii="Sylfaen" w:hAnsi="Sylfaen"/>
          <w:b/>
          <w:szCs w:val="20"/>
        </w:rPr>
        <w:t>გათვალისწინების</w:t>
      </w:r>
      <w:proofErr w:type="spellEnd"/>
      <w:r w:rsidRPr="00A37378">
        <w:rPr>
          <w:rFonts w:ascii="Sylfaen" w:hAnsi="Sylfaen"/>
          <w:b/>
          <w:szCs w:val="20"/>
        </w:rPr>
        <w:t xml:space="preserve"> </w:t>
      </w:r>
      <w:proofErr w:type="spellStart"/>
      <w:r w:rsidRPr="00A37378">
        <w:rPr>
          <w:rFonts w:ascii="Sylfaen" w:hAnsi="Sylfaen"/>
          <w:b/>
          <w:szCs w:val="20"/>
        </w:rPr>
        <w:t>შესაძლებლობის</w:t>
      </w:r>
      <w:proofErr w:type="spellEnd"/>
      <w:r w:rsidRPr="00A37378">
        <w:rPr>
          <w:rFonts w:ascii="Sylfaen" w:hAnsi="Sylfaen"/>
          <w:b/>
          <w:szCs w:val="20"/>
        </w:rPr>
        <w:t xml:space="preserve"> </w:t>
      </w:r>
      <w:proofErr w:type="spellStart"/>
      <w:r w:rsidRPr="00A37378">
        <w:rPr>
          <w:rFonts w:ascii="Sylfaen" w:hAnsi="Sylfaen"/>
          <w:b/>
          <w:szCs w:val="20"/>
        </w:rPr>
        <w:t>თაობაზე</w:t>
      </w:r>
      <w:proofErr w:type="spellEnd"/>
      <w:r w:rsidRPr="00A37378">
        <w:rPr>
          <w:rFonts w:ascii="Sylfaen" w:hAnsi="Sylfaen"/>
          <w:b/>
          <w:szCs w:val="20"/>
        </w:rPr>
        <w:t xml:space="preserve">“ </w:t>
      </w:r>
      <w:proofErr w:type="spellStart"/>
      <w:r w:rsidRPr="00A37378">
        <w:rPr>
          <w:rFonts w:ascii="Sylfaen" w:hAnsi="Sylfaen"/>
          <w:b/>
          <w:szCs w:val="20"/>
        </w:rPr>
        <w:t>საქართველოს</w:t>
      </w:r>
      <w:proofErr w:type="spellEnd"/>
      <w:r w:rsidRPr="00A37378">
        <w:rPr>
          <w:rFonts w:ascii="Sylfaen" w:hAnsi="Sylfaen"/>
          <w:b/>
          <w:szCs w:val="20"/>
        </w:rPr>
        <w:t xml:space="preserve"> </w:t>
      </w:r>
      <w:proofErr w:type="spellStart"/>
      <w:r w:rsidRPr="00A37378">
        <w:rPr>
          <w:rFonts w:ascii="Sylfaen" w:hAnsi="Sylfaen"/>
          <w:b/>
          <w:szCs w:val="20"/>
        </w:rPr>
        <w:t>მთავრობის</w:t>
      </w:r>
      <w:proofErr w:type="spellEnd"/>
      <w:r w:rsidRPr="00A37378">
        <w:rPr>
          <w:rFonts w:ascii="Sylfaen" w:hAnsi="Sylfaen"/>
          <w:b/>
          <w:szCs w:val="20"/>
        </w:rPr>
        <w:t xml:space="preserve"> </w:t>
      </w:r>
      <w:proofErr w:type="spellStart"/>
      <w:r w:rsidRPr="00A37378">
        <w:rPr>
          <w:rFonts w:ascii="Sylfaen" w:hAnsi="Sylfaen"/>
          <w:b/>
          <w:szCs w:val="20"/>
        </w:rPr>
        <w:t>სამოქმედო</w:t>
      </w:r>
      <w:proofErr w:type="spellEnd"/>
      <w:r w:rsidRPr="00A37378">
        <w:rPr>
          <w:rFonts w:ascii="Sylfaen" w:hAnsi="Sylfaen"/>
          <w:b/>
          <w:szCs w:val="20"/>
        </w:rPr>
        <w:t xml:space="preserve"> </w:t>
      </w:r>
      <w:proofErr w:type="spellStart"/>
      <w:r w:rsidRPr="00A37378">
        <w:rPr>
          <w:rFonts w:ascii="Sylfaen" w:hAnsi="Sylfaen"/>
          <w:b/>
          <w:szCs w:val="20"/>
        </w:rPr>
        <w:t>გეგმის</w:t>
      </w:r>
      <w:proofErr w:type="spellEnd"/>
      <w:r w:rsidRPr="00A37378">
        <w:rPr>
          <w:rFonts w:ascii="Sylfaen" w:hAnsi="Sylfaen"/>
          <w:b/>
          <w:szCs w:val="20"/>
        </w:rPr>
        <w:t xml:space="preserve"> </w:t>
      </w:r>
      <w:proofErr w:type="spellStart"/>
      <w:r w:rsidRPr="00A37378">
        <w:rPr>
          <w:rFonts w:ascii="Sylfaen" w:hAnsi="Sylfaen"/>
          <w:b/>
          <w:szCs w:val="20"/>
        </w:rPr>
        <w:t>განსაზღვრის</w:t>
      </w:r>
      <w:proofErr w:type="spellEnd"/>
      <w:r w:rsidRPr="00A37378">
        <w:rPr>
          <w:rFonts w:ascii="Sylfaen" w:hAnsi="Sylfaen"/>
          <w:b/>
          <w:szCs w:val="20"/>
        </w:rPr>
        <w:t xml:space="preserve"> </w:t>
      </w:r>
      <w:proofErr w:type="spellStart"/>
      <w:r w:rsidRPr="00A37378">
        <w:rPr>
          <w:rFonts w:ascii="Sylfaen" w:hAnsi="Sylfaen"/>
          <w:b/>
          <w:szCs w:val="20"/>
        </w:rPr>
        <w:t>შესახებ</w:t>
      </w:r>
      <w:proofErr w:type="spellEnd"/>
      <w:r w:rsidRPr="00A37378">
        <w:rPr>
          <w:rFonts w:ascii="Sylfaen" w:hAnsi="Sylfaen"/>
          <w:b/>
          <w:szCs w:val="20"/>
        </w:rPr>
        <w:t xml:space="preserve">" </w:t>
      </w:r>
      <w:proofErr w:type="spellStart"/>
      <w:r w:rsidRPr="00A37378">
        <w:rPr>
          <w:rFonts w:ascii="Sylfaen" w:hAnsi="Sylfaen"/>
          <w:b/>
          <w:szCs w:val="20"/>
        </w:rPr>
        <w:t>საქართველოს</w:t>
      </w:r>
      <w:proofErr w:type="spellEnd"/>
      <w:r w:rsidRPr="00A37378">
        <w:rPr>
          <w:rFonts w:ascii="Sylfaen" w:hAnsi="Sylfaen"/>
          <w:b/>
          <w:szCs w:val="20"/>
        </w:rPr>
        <w:t xml:space="preserve"> </w:t>
      </w:r>
      <w:proofErr w:type="spellStart"/>
      <w:r w:rsidRPr="00A37378">
        <w:rPr>
          <w:rFonts w:ascii="Sylfaen" w:hAnsi="Sylfaen"/>
          <w:b/>
          <w:szCs w:val="20"/>
        </w:rPr>
        <w:t>მთავრობის</w:t>
      </w:r>
      <w:proofErr w:type="spellEnd"/>
      <w:r w:rsidR="00C543A3">
        <w:rPr>
          <w:rFonts w:ascii="Sylfaen" w:hAnsi="Sylfaen"/>
          <w:b/>
          <w:szCs w:val="20"/>
        </w:rPr>
        <w:t xml:space="preserve"> 2024</w:t>
      </w:r>
      <w:r w:rsidRPr="00A37378">
        <w:rPr>
          <w:rFonts w:ascii="Sylfaen" w:hAnsi="Sylfaen"/>
          <w:b/>
          <w:szCs w:val="20"/>
        </w:rPr>
        <w:t xml:space="preserve"> </w:t>
      </w:r>
      <w:proofErr w:type="spellStart"/>
      <w:r w:rsidRPr="00A37378">
        <w:rPr>
          <w:rFonts w:ascii="Sylfaen" w:hAnsi="Sylfaen"/>
          <w:b/>
          <w:szCs w:val="20"/>
        </w:rPr>
        <w:t>წლის</w:t>
      </w:r>
      <w:proofErr w:type="spellEnd"/>
      <w:r w:rsidR="00C543A3">
        <w:rPr>
          <w:rFonts w:ascii="Sylfaen" w:hAnsi="Sylfaen"/>
          <w:b/>
          <w:szCs w:val="20"/>
        </w:rPr>
        <w:t xml:space="preserve"> 11</w:t>
      </w:r>
      <w:r w:rsidRPr="00A37378">
        <w:rPr>
          <w:rFonts w:ascii="Sylfaen" w:hAnsi="Sylfaen"/>
          <w:b/>
          <w:szCs w:val="20"/>
        </w:rPr>
        <w:t xml:space="preserve"> </w:t>
      </w:r>
      <w:r w:rsidR="00C543A3">
        <w:rPr>
          <w:rFonts w:ascii="Sylfaen" w:hAnsi="Sylfaen"/>
          <w:b/>
          <w:szCs w:val="20"/>
          <w:lang w:val="ka-GE"/>
        </w:rPr>
        <w:t>სექტემბრის</w:t>
      </w:r>
      <w:r w:rsidR="00C543A3">
        <w:rPr>
          <w:rFonts w:ascii="Sylfaen" w:hAnsi="Sylfaen"/>
          <w:b/>
          <w:szCs w:val="20"/>
        </w:rPr>
        <w:t xml:space="preserve"> N1302</w:t>
      </w:r>
      <w:r w:rsidRPr="00A37378">
        <w:rPr>
          <w:rFonts w:ascii="Sylfaen" w:hAnsi="Sylfaen"/>
          <w:b/>
          <w:szCs w:val="20"/>
        </w:rPr>
        <w:t xml:space="preserve"> </w:t>
      </w:r>
      <w:proofErr w:type="spellStart"/>
      <w:r w:rsidRPr="00A37378">
        <w:rPr>
          <w:rFonts w:ascii="Sylfaen" w:hAnsi="Sylfaen"/>
          <w:b/>
          <w:szCs w:val="20"/>
        </w:rPr>
        <w:t>განკარგულები</w:t>
      </w:r>
      <w:proofErr w:type="spellEnd"/>
      <w:r w:rsidRPr="00A37378">
        <w:rPr>
          <w:rFonts w:ascii="Sylfaen" w:hAnsi="Sylfaen"/>
          <w:b/>
          <w:szCs w:val="20"/>
          <w:lang w:val="ka-GE"/>
        </w:rPr>
        <w:t>თ განსაზღვრული საქართველოს მთავრობის სამოქმედო გეგმის შესრულების შესახებ</w:t>
      </w:r>
    </w:p>
    <w:p w14:paraId="46F297BC" w14:textId="77777777" w:rsidR="002D2744" w:rsidRPr="00742134" w:rsidRDefault="002D2744" w:rsidP="001A09ED">
      <w:pPr>
        <w:spacing w:after="0" w:line="276" w:lineRule="auto"/>
        <w:jc w:val="both"/>
        <w:rPr>
          <w:rFonts w:ascii="Sylfaen" w:hAnsi="Sylfaen"/>
          <w:b/>
          <w:sz w:val="20"/>
          <w:szCs w:val="20"/>
          <w:lang w:val="ka-GE"/>
        </w:rPr>
      </w:pPr>
    </w:p>
    <w:tbl>
      <w:tblPr>
        <w:tblStyle w:val="TableGrid"/>
        <w:tblW w:w="14885" w:type="dxa"/>
        <w:tblInd w:w="-856" w:type="dxa"/>
        <w:tblLayout w:type="fixed"/>
        <w:tblLook w:val="04A0" w:firstRow="1" w:lastRow="0" w:firstColumn="1" w:lastColumn="0" w:noHBand="0" w:noVBand="1"/>
      </w:tblPr>
      <w:tblGrid>
        <w:gridCol w:w="450"/>
        <w:gridCol w:w="3780"/>
        <w:gridCol w:w="1260"/>
        <w:gridCol w:w="1530"/>
        <w:gridCol w:w="3510"/>
        <w:gridCol w:w="4355"/>
      </w:tblGrid>
      <w:tr w:rsidR="00F44287" w:rsidRPr="00FA2F77" w14:paraId="261A3769" w14:textId="77777777" w:rsidTr="00700D94">
        <w:trPr>
          <w:trHeight w:val="113"/>
          <w:tblHeader/>
        </w:trPr>
        <w:tc>
          <w:tcPr>
            <w:tcW w:w="450" w:type="dxa"/>
            <w:shd w:val="clear" w:color="auto" w:fill="D9E2F3" w:themeFill="accent5" w:themeFillTint="33"/>
          </w:tcPr>
          <w:p w14:paraId="711BAB56" w14:textId="0C2C7905" w:rsidR="00F44287" w:rsidRPr="00FA2F77" w:rsidRDefault="00F44287" w:rsidP="00450A25">
            <w:pPr>
              <w:jc w:val="center"/>
              <w:rPr>
                <w:rFonts w:ascii="Sylfaen" w:hAnsi="Sylfaen"/>
                <w:b/>
                <w:sz w:val="20"/>
                <w:szCs w:val="20"/>
                <w:lang w:val="ka-GE"/>
              </w:rPr>
            </w:pPr>
          </w:p>
        </w:tc>
        <w:tc>
          <w:tcPr>
            <w:tcW w:w="3780" w:type="dxa"/>
            <w:shd w:val="clear" w:color="auto" w:fill="D9E2F3" w:themeFill="accent5" w:themeFillTint="33"/>
            <w:vAlign w:val="center"/>
          </w:tcPr>
          <w:p w14:paraId="4D88E79F" w14:textId="77777777" w:rsidR="00F44287" w:rsidRPr="00FA2F77" w:rsidRDefault="00F44287" w:rsidP="00450A25">
            <w:pPr>
              <w:jc w:val="center"/>
              <w:rPr>
                <w:rFonts w:ascii="Sylfaen" w:hAnsi="Sylfaen"/>
                <w:b/>
                <w:sz w:val="20"/>
                <w:szCs w:val="20"/>
                <w:lang w:val="ka-GE"/>
              </w:rPr>
            </w:pPr>
            <w:r w:rsidRPr="00FA2F77">
              <w:rPr>
                <w:rFonts w:ascii="Sylfaen" w:hAnsi="Sylfaen"/>
                <w:b/>
                <w:sz w:val="20"/>
                <w:szCs w:val="20"/>
                <w:lang w:val="ka-GE"/>
              </w:rPr>
              <w:t>რეკომენდაცია</w:t>
            </w:r>
          </w:p>
        </w:tc>
        <w:tc>
          <w:tcPr>
            <w:tcW w:w="1260" w:type="dxa"/>
            <w:shd w:val="clear" w:color="auto" w:fill="D9E2F3" w:themeFill="accent5" w:themeFillTint="33"/>
            <w:vAlign w:val="center"/>
          </w:tcPr>
          <w:p w14:paraId="182A8F76" w14:textId="37451B88" w:rsidR="00F44287" w:rsidRPr="00FA2F77" w:rsidRDefault="00700D94" w:rsidP="00450A25">
            <w:pPr>
              <w:jc w:val="center"/>
              <w:rPr>
                <w:rFonts w:ascii="Sylfaen" w:hAnsi="Sylfaen"/>
                <w:b/>
                <w:sz w:val="20"/>
                <w:szCs w:val="20"/>
                <w:lang w:val="ka-GE"/>
              </w:rPr>
            </w:pPr>
            <w:r>
              <w:rPr>
                <w:rFonts w:ascii="Sylfaen" w:hAnsi="Sylfaen"/>
                <w:b/>
                <w:sz w:val="20"/>
                <w:szCs w:val="20"/>
                <w:lang w:val="ka-GE"/>
              </w:rPr>
              <w:t xml:space="preserve">სამოქმედო გეგმით გათვალისწინებული </w:t>
            </w:r>
            <w:r w:rsidR="00F44287" w:rsidRPr="00FA2F77">
              <w:rPr>
                <w:rFonts w:ascii="Sylfaen" w:hAnsi="Sylfaen"/>
                <w:b/>
                <w:sz w:val="20"/>
                <w:szCs w:val="20"/>
                <w:lang w:val="ka-GE"/>
              </w:rPr>
              <w:t>განხორციელები</w:t>
            </w:r>
            <w:bookmarkStart w:id="0" w:name="_GoBack"/>
            <w:bookmarkEnd w:id="0"/>
            <w:r w:rsidR="00F44287" w:rsidRPr="00FA2F77">
              <w:rPr>
                <w:rFonts w:ascii="Sylfaen" w:hAnsi="Sylfaen"/>
                <w:b/>
                <w:sz w:val="20"/>
                <w:szCs w:val="20"/>
                <w:lang w:val="ka-GE"/>
              </w:rPr>
              <w:t>ს ვადები</w:t>
            </w:r>
          </w:p>
        </w:tc>
        <w:tc>
          <w:tcPr>
            <w:tcW w:w="1530" w:type="dxa"/>
            <w:shd w:val="clear" w:color="auto" w:fill="D9E2F3" w:themeFill="accent5" w:themeFillTint="33"/>
            <w:vAlign w:val="center"/>
          </w:tcPr>
          <w:p w14:paraId="33CE6D65" w14:textId="77777777" w:rsidR="00F44287" w:rsidRPr="00FA2F77" w:rsidRDefault="00F44287" w:rsidP="00450A25">
            <w:pPr>
              <w:jc w:val="center"/>
              <w:rPr>
                <w:rFonts w:ascii="Sylfaen" w:hAnsi="Sylfaen"/>
                <w:b/>
                <w:sz w:val="20"/>
                <w:szCs w:val="20"/>
                <w:lang w:val="ka-GE"/>
              </w:rPr>
            </w:pPr>
            <w:r w:rsidRPr="00FA2F77">
              <w:rPr>
                <w:rFonts w:ascii="Sylfaen" w:hAnsi="Sylfaen"/>
                <w:b/>
                <w:sz w:val="20"/>
                <w:szCs w:val="20"/>
                <w:lang w:val="ka-GE"/>
              </w:rPr>
              <w:t>პასუხისმგებელი უწყება</w:t>
            </w:r>
          </w:p>
        </w:tc>
        <w:tc>
          <w:tcPr>
            <w:tcW w:w="3510" w:type="dxa"/>
            <w:shd w:val="clear" w:color="auto" w:fill="D9E2F3" w:themeFill="accent5" w:themeFillTint="33"/>
            <w:vAlign w:val="center"/>
          </w:tcPr>
          <w:p w14:paraId="11479921" w14:textId="77777777" w:rsidR="00F44287" w:rsidRPr="00FA2F77" w:rsidRDefault="00F44287" w:rsidP="00450A25">
            <w:pPr>
              <w:jc w:val="center"/>
              <w:rPr>
                <w:rFonts w:ascii="Sylfaen" w:hAnsi="Sylfaen"/>
                <w:b/>
                <w:sz w:val="20"/>
                <w:szCs w:val="20"/>
                <w:lang w:val="ka-GE"/>
              </w:rPr>
            </w:pPr>
            <w:r w:rsidRPr="00FA2F77">
              <w:rPr>
                <w:rFonts w:ascii="Sylfaen" w:hAnsi="Sylfaen"/>
                <w:b/>
                <w:sz w:val="20"/>
                <w:szCs w:val="20"/>
                <w:lang w:val="ka-GE"/>
              </w:rPr>
              <w:t>ინდიკატორი</w:t>
            </w:r>
          </w:p>
        </w:tc>
        <w:tc>
          <w:tcPr>
            <w:tcW w:w="4355" w:type="dxa"/>
            <w:shd w:val="clear" w:color="auto" w:fill="D9E2F3" w:themeFill="accent5" w:themeFillTint="33"/>
            <w:vAlign w:val="center"/>
          </w:tcPr>
          <w:p w14:paraId="02CA4DE0" w14:textId="77777777" w:rsidR="00F44287" w:rsidRPr="00FA2F77" w:rsidRDefault="00F44287" w:rsidP="00450A25">
            <w:pPr>
              <w:jc w:val="center"/>
              <w:rPr>
                <w:rFonts w:ascii="Sylfaen" w:hAnsi="Sylfaen"/>
                <w:b/>
                <w:sz w:val="20"/>
                <w:szCs w:val="20"/>
                <w:lang w:val="ka-GE"/>
              </w:rPr>
            </w:pPr>
            <w:r w:rsidRPr="00FA2F77">
              <w:rPr>
                <w:rFonts w:ascii="Sylfaen" w:hAnsi="Sylfaen"/>
                <w:b/>
                <w:sz w:val="20"/>
                <w:szCs w:val="20"/>
                <w:lang w:val="ka-GE"/>
              </w:rPr>
              <w:t>რეკომენდაციის გათვალისწინების შესაძლებლობა</w:t>
            </w:r>
          </w:p>
        </w:tc>
      </w:tr>
      <w:tr w:rsidR="00F44287" w:rsidRPr="00FA2F77" w14:paraId="2F8047B8" w14:textId="77777777" w:rsidTr="0051685C">
        <w:trPr>
          <w:trHeight w:val="113"/>
        </w:trPr>
        <w:tc>
          <w:tcPr>
            <w:tcW w:w="450" w:type="dxa"/>
          </w:tcPr>
          <w:p w14:paraId="56CC70FE" w14:textId="77777777" w:rsidR="00F44287" w:rsidRPr="00FA2F77" w:rsidRDefault="00F44287" w:rsidP="00EB5DD6">
            <w:pPr>
              <w:pStyle w:val="Heading2"/>
              <w:outlineLvl w:val="1"/>
              <w:rPr>
                <w:rFonts w:ascii="Sylfaen" w:eastAsiaTheme="minorHAnsi" w:hAnsi="Sylfaen" w:cstheme="minorBidi"/>
                <w:b/>
                <w:color w:val="auto"/>
                <w:sz w:val="20"/>
                <w:szCs w:val="20"/>
                <w:lang w:val="ka-GE"/>
              </w:rPr>
            </w:pPr>
          </w:p>
        </w:tc>
        <w:tc>
          <w:tcPr>
            <w:tcW w:w="14435" w:type="dxa"/>
            <w:gridSpan w:val="5"/>
          </w:tcPr>
          <w:p w14:paraId="7C179371" w14:textId="77777777" w:rsidR="00F44287" w:rsidRPr="00FA2F77" w:rsidRDefault="00F44287" w:rsidP="00EB5DD6">
            <w:pPr>
              <w:pStyle w:val="Heading2"/>
              <w:outlineLvl w:val="1"/>
              <w:rPr>
                <w:rFonts w:ascii="Sylfaen" w:hAnsi="Sylfaen"/>
                <w:color w:val="auto"/>
                <w:sz w:val="20"/>
                <w:szCs w:val="20"/>
              </w:rPr>
            </w:pPr>
            <w:r w:rsidRPr="00FA2F77">
              <w:rPr>
                <w:rFonts w:ascii="Sylfaen" w:eastAsiaTheme="minorHAnsi" w:hAnsi="Sylfaen" w:cstheme="minorBidi"/>
                <w:b/>
                <w:color w:val="auto"/>
                <w:sz w:val="20"/>
                <w:szCs w:val="20"/>
                <w:lang w:val="ka-GE"/>
              </w:rPr>
              <w:t>საქართველოს ფინანსთა სამინისტროს</w:t>
            </w:r>
          </w:p>
        </w:tc>
      </w:tr>
      <w:tr w:rsidR="00F44287" w:rsidRPr="00390AC9" w14:paraId="41C58592" w14:textId="77777777" w:rsidTr="0051685C">
        <w:trPr>
          <w:trHeight w:val="113"/>
        </w:trPr>
        <w:tc>
          <w:tcPr>
            <w:tcW w:w="450" w:type="dxa"/>
          </w:tcPr>
          <w:p w14:paraId="674C2672" w14:textId="77777777" w:rsidR="00F44287" w:rsidRPr="00FA2F77" w:rsidRDefault="00F44287" w:rsidP="00742134">
            <w:pPr>
              <w:jc w:val="both"/>
              <w:rPr>
                <w:rFonts w:ascii="Sylfaen" w:hAnsi="Sylfaen" w:cs="Sylfaen"/>
                <w:sz w:val="20"/>
                <w:szCs w:val="20"/>
                <w:lang w:val="ka-GE"/>
              </w:rPr>
            </w:pPr>
            <w:r w:rsidRPr="00FA2F77">
              <w:rPr>
                <w:rFonts w:ascii="Sylfaen" w:hAnsi="Sylfaen" w:cs="Sylfaen"/>
                <w:sz w:val="20"/>
                <w:szCs w:val="20"/>
                <w:lang w:val="ka-GE"/>
              </w:rPr>
              <w:t>1</w:t>
            </w:r>
          </w:p>
        </w:tc>
        <w:tc>
          <w:tcPr>
            <w:tcW w:w="3780" w:type="dxa"/>
          </w:tcPr>
          <w:p w14:paraId="6F6BE3FD" w14:textId="77777777" w:rsidR="00F44287" w:rsidRPr="00FA2F77" w:rsidRDefault="00C543A3" w:rsidP="00742134">
            <w:pPr>
              <w:jc w:val="both"/>
              <w:rPr>
                <w:rFonts w:ascii="Sylfaen" w:hAnsi="Sylfaen" w:cs="Sylfaen"/>
                <w:sz w:val="20"/>
                <w:szCs w:val="20"/>
                <w:lang w:val="ka-GE"/>
              </w:rPr>
            </w:pPr>
            <w:r w:rsidRPr="00FA2F77">
              <w:rPr>
                <w:rFonts w:ascii="Sylfaen" w:hAnsi="Sylfaen" w:cs="Sylfaen"/>
                <w:sz w:val="20"/>
                <w:szCs w:val="20"/>
                <w:lang w:val="ka-GE"/>
              </w:rPr>
              <w:t>მიზანშეწონილია, „ფისკალური რისკების ანალიზის“ დოკუმენტში ერთმანეთისგან გამიჯნულად იქნეს გაანალიზებული კორპორაციათა სექტორად და სამთავრობო სექტორად დაკლასიფიცირებულ სახელმწიფო საწარმოებიდან მომდინარე ფისკალური რისკები.</w:t>
            </w:r>
          </w:p>
        </w:tc>
        <w:tc>
          <w:tcPr>
            <w:tcW w:w="1260" w:type="dxa"/>
          </w:tcPr>
          <w:p w14:paraId="1916556D" w14:textId="77777777" w:rsidR="00C543A3" w:rsidRPr="00FA2F77" w:rsidRDefault="00C543A3" w:rsidP="00C543A3">
            <w:pPr>
              <w:jc w:val="center"/>
              <w:rPr>
                <w:rFonts w:ascii="Sylfaen" w:hAnsi="Sylfaen"/>
                <w:noProof/>
                <w:sz w:val="20"/>
                <w:szCs w:val="20"/>
                <w:lang w:val="ka-GE"/>
              </w:rPr>
            </w:pPr>
            <w:r w:rsidRPr="00FA2F77">
              <w:rPr>
                <w:rFonts w:ascii="Sylfaen" w:hAnsi="Sylfaen"/>
                <w:noProof/>
                <w:sz w:val="20"/>
                <w:szCs w:val="20"/>
                <w:lang w:val="ka-GE"/>
              </w:rPr>
              <w:t xml:space="preserve">2024 წელი,  </w:t>
            </w:r>
            <w:r w:rsidRPr="00FA2F77">
              <w:rPr>
                <w:rFonts w:ascii="Sylfaen" w:hAnsi="Sylfaen"/>
                <w:noProof/>
                <w:sz w:val="20"/>
                <w:szCs w:val="20"/>
              </w:rPr>
              <w:t>IV</w:t>
            </w:r>
            <w:r w:rsidRPr="00FA2F77">
              <w:rPr>
                <w:rFonts w:ascii="Sylfaen" w:hAnsi="Sylfaen"/>
                <w:noProof/>
                <w:sz w:val="20"/>
                <w:szCs w:val="20"/>
                <w:lang w:val="en-GB"/>
              </w:rPr>
              <w:t xml:space="preserve"> </w:t>
            </w:r>
            <w:r w:rsidRPr="00FA2F77">
              <w:rPr>
                <w:rFonts w:ascii="Sylfaen" w:hAnsi="Sylfaen"/>
                <w:noProof/>
                <w:sz w:val="20"/>
                <w:szCs w:val="20"/>
                <w:lang w:val="ka-GE"/>
              </w:rPr>
              <w:t>კვ.</w:t>
            </w:r>
          </w:p>
          <w:p w14:paraId="08D7FB76" w14:textId="77777777" w:rsidR="00F44287" w:rsidRPr="00FA2F77" w:rsidRDefault="00F44287" w:rsidP="00742134">
            <w:pPr>
              <w:jc w:val="center"/>
              <w:rPr>
                <w:rFonts w:ascii="Sylfaen" w:hAnsi="Sylfaen"/>
                <w:noProof/>
                <w:sz w:val="20"/>
                <w:szCs w:val="20"/>
                <w:lang w:val="ka-GE"/>
              </w:rPr>
            </w:pPr>
          </w:p>
        </w:tc>
        <w:tc>
          <w:tcPr>
            <w:tcW w:w="1530" w:type="dxa"/>
          </w:tcPr>
          <w:p w14:paraId="60D68E92" w14:textId="77777777" w:rsidR="00F44287" w:rsidRPr="00FA2F77" w:rsidRDefault="00F44287" w:rsidP="00450A25">
            <w:pPr>
              <w:jc w:val="center"/>
              <w:rPr>
                <w:rFonts w:ascii="Sylfaen" w:hAnsi="Sylfaen"/>
                <w:noProof/>
                <w:sz w:val="20"/>
                <w:szCs w:val="20"/>
                <w:lang w:val="ka-GE"/>
              </w:rPr>
            </w:pPr>
            <w:r w:rsidRPr="00FA2F77">
              <w:rPr>
                <w:rFonts w:ascii="Sylfaen" w:hAnsi="Sylfaen" w:cs="Sylfaen"/>
                <w:sz w:val="20"/>
                <w:szCs w:val="20"/>
                <w:lang w:val="ka-GE"/>
              </w:rPr>
              <w:t>საქართველოს ფინანსთა სამინისტრო</w:t>
            </w:r>
          </w:p>
        </w:tc>
        <w:tc>
          <w:tcPr>
            <w:tcW w:w="3510" w:type="dxa"/>
          </w:tcPr>
          <w:p w14:paraId="2228536E" w14:textId="77777777" w:rsidR="00F44287" w:rsidRPr="00FA2F77" w:rsidRDefault="00C543A3" w:rsidP="005843D2">
            <w:pPr>
              <w:jc w:val="both"/>
              <w:rPr>
                <w:rFonts w:ascii="Sylfaen" w:hAnsi="Sylfaen"/>
                <w:noProof/>
                <w:sz w:val="20"/>
                <w:szCs w:val="20"/>
                <w:lang w:val="ka-GE"/>
              </w:rPr>
            </w:pPr>
            <w:r w:rsidRPr="00FA2F77">
              <w:rPr>
                <w:rFonts w:ascii="Sylfaen" w:hAnsi="Sylfaen"/>
                <w:noProof/>
                <w:sz w:val="20"/>
                <w:szCs w:val="20"/>
                <w:lang w:val="ka-GE"/>
              </w:rPr>
              <w:t>შესაბამისი ფისკალური რისკების ანალიზის დოკუმენტის დანართი, რომელიც წარედგინება საქართველოს პარლამენტს 2025 წლის სახელმწიფო ბიუჯეტის პროექტთან ერთად და განთავსებულია საქართველოს ფინანსთა სამინისტროს ვებ-გვერდზე(</w:t>
            </w:r>
            <w:r w:rsidRPr="00FA2F77">
              <w:rPr>
                <w:rFonts w:ascii="Sylfaen" w:hAnsi="Sylfaen"/>
                <w:noProof/>
                <w:sz w:val="20"/>
                <w:szCs w:val="20"/>
              </w:rPr>
              <w:t>www.mof.ge)</w:t>
            </w:r>
            <w:r w:rsidRPr="00FA2F77">
              <w:rPr>
                <w:rFonts w:ascii="Sylfaen" w:hAnsi="Sylfaen"/>
                <w:noProof/>
                <w:sz w:val="20"/>
                <w:szCs w:val="20"/>
                <w:lang w:val="ka-GE"/>
              </w:rPr>
              <w:t>.</w:t>
            </w:r>
          </w:p>
        </w:tc>
        <w:tc>
          <w:tcPr>
            <w:tcW w:w="4355" w:type="dxa"/>
          </w:tcPr>
          <w:p w14:paraId="00155504" w14:textId="77777777" w:rsidR="00F44287" w:rsidRPr="00FA2F77" w:rsidRDefault="00663DC2" w:rsidP="00A37378">
            <w:pPr>
              <w:jc w:val="both"/>
              <w:rPr>
                <w:rFonts w:ascii="Sylfaen" w:hAnsi="Sylfaen"/>
                <w:noProof/>
                <w:sz w:val="20"/>
                <w:szCs w:val="20"/>
                <w:lang w:val="ka-GE"/>
              </w:rPr>
            </w:pPr>
            <w:r w:rsidRPr="00FA2F77">
              <w:rPr>
                <w:rFonts w:ascii="Sylfaen" w:hAnsi="Sylfaen"/>
                <w:noProof/>
                <w:sz w:val="20"/>
                <w:szCs w:val="20"/>
                <w:lang w:val="ka-GE"/>
              </w:rPr>
              <w:t>შესრულებულია</w:t>
            </w:r>
          </w:p>
          <w:p w14:paraId="4D6B3AD1" w14:textId="77777777" w:rsidR="00FA2F77" w:rsidRPr="00FA2F77" w:rsidRDefault="00FA2F77" w:rsidP="00A37378">
            <w:pPr>
              <w:jc w:val="both"/>
              <w:rPr>
                <w:rFonts w:ascii="Sylfaen" w:hAnsi="Sylfaen"/>
                <w:noProof/>
                <w:sz w:val="20"/>
                <w:szCs w:val="20"/>
                <w:lang w:val="ka-GE"/>
              </w:rPr>
            </w:pPr>
          </w:p>
          <w:p w14:paraId="25BC3EE4" w14:textId="77777777" w:rsidR="00F44287" w:rsidRPr="00FA2F77" w:rsidRDefault="00984A3A" w:rsidP="00A37378">
            <w:pPr>
              <w:jc w:val="both"/>
              <w:rPr>
                <w:rFonts w:ascii="Sylfaen" w:hAnsi="Sylfaen"/>
                <w:noProof/>
                <w:sz w:val="20"/>
                <w:szCs w:val="20"/>
                <w:lang w:val="ka-GE"/>
              </w:rPr>
            </w:pPr>
            <w:r w:rsidRPr="00FA2F77">
              <w:rPr>
                <w:rFonts w:ascii="Sylfaen" w:hAnsi="Sylfaen"/>
                <w:noProof/>
                <w:sz w:val="20"/>
                <w:szCs w:val="20"/>
                <w:lang w:val="ka-GE"/>
              </w:rPr>
              <w:t>ფისკალური რისკების ანალიზის დოკუმენტი</w:t>
            </w:r>
            <w:r>
              <w:rPr>
                <w:rFonts w:ascii="Sylfaen" w:hAnsi="Sylfaen"/>
                <w:noProof/>
                <w:sz w:val="20"/>
                <w:szCs w:val="20"/>
                <w:lang w:val="ka-GE"/>
              </w:rPr>
              <w:t xml:space="preserve"> 2025 წლის სახელმწიფო ბიუჯეტის პროექტთან ერთად განთავსებულია საქართველოს ფინანსთა სამინისტროს ვებ-გვერდზე: </w:t>
            </w:r>
            <w:hyperlink r:id="rId8" w:history="1">
              <w:r w:rsidR="00FA2F77" w:rsidRPr="00FA2F77">
                <w:rPr>
                  <w:rStyle w:val="Hyperlink"/>
                  <w:rFonts w:ascii="Sylfaen" w:hAnsi="Sylfaen"/>
                  <w:noProof/>
                  <w:sz w:val="20"/>
                  <w:szCs w:val="20"/>
                  <w:lang w:val="ka-GE"/>
                </w:rPr>
                <w:t>https://mof.ge/images/File/2025_Biujeti/30-12-2024/danartebi/20.Fiscal_Risks_and_SOE_Aggregate_Report_2025%203.pdf</w:t>
              </w:r>
            </w:hyperlink>
          </w:p>
        </w:tc>
      </w:tr>
      <w:tr w:rsidR="00F44287" w:rsidRPr="00FA2F77" w14:paraId="1D67729A" w14:textId="77777777" w:rsidTr="0051685C">
        <w:trPr>
          <w:trHeight w:val="113"/>
        </w:trPr>
        <w:tc>
          <w:tcPr>
            <w:tcW w:w="450" w:type="dxa"/>
          </w:tcPr>
          <w:p w14:paraId="51A21C96" w14:textId="1EB7E05E" w:rsidR="00F44287" w:rsidRPr="00FA2F77" w:rsidRDefault="00E60977" w:rsidP="00DD157F">
            <w:pPr>
              <w:jc w:val="both"/>
              <w:rPr>
                <w:rFonts w:ascii="Sylfaen" w:hAnsi="Sylfaen" w:cs="Sylfaen"/>
                <w:sz w:val="20"/>
                <w:szCs w:val="20"/>
                <w:lang w:val="ka-GE"/>
              </w:rPr>
            </w:pPr>
            <w:r>
              <w:rPr>
                <w:rFonts w:ascii="Sylfaen" w:hAnsi="Sylfaen" w:cs="Sylfaen"/>
                <w:sz w:val="20"/>
                <w:szCs w:val="20"/>
                <w:lang w:val="ka-GE"/>
              </w:rPr>
              <w:t>2</w:t>
            </w:r>
          </w:p>
        </w:tc>
        <w:tc>
          <w:tcPr>
            <w:tcW w:w="3780" w:type="dxa"/>
          </w:tcPr>
          <w:p w14:paraId="532F8B92" w14:textId="77777777" w:rsidR="00F44287" w:rsidRPr="00FA2F77" w:rsidRDefault="00C543A3" w:rsidP="00DD157F">
            <w:pPr>
              <w:jc w:val="both"/>
              <w:rPr>
                <w:rFonts w:ascii="Sylfaen" w:hAnsi="Sylfaen" w:cs="Sylfaen"/>
                <w:sz w:val="20"/>
                <w:szCs w:val="20"/>
              </w:rPr>
            </w:pPr>
            <w:proofErr w:type="spellStart"/>
            <w:proofErr w:type="gramStart"/>
            <w:r w:rsidRPr="00FA2F77">
              <w:rPr>
                <w:rFonts w:ascii="Sylfaen" w:hAnsi="Sylfaen" w:cs="Sylfaen"/>
                <w:sz w:val="20"/>
                <w:szCs w:val="20"/>
              </w:rPr>
              <w:t>სამთავრობო</w:t>
            </w:r>
            <w:proofErr w:type="spellEnd"/>
            <w:proofErr w:type="gramEnd"/>
            <w:r w:rsidRPr="00FA2F77">
              <w:rPr>
                <w:rFonts w:ascii="Sylfaen" w:hAnsi="Sylfaen" w:cs="Sylfaen"/>
                <w:sz w:val="20"/>
                <w:szCs w:val="20"/>
              </w:rPr>
              <w:t xml:space="preserve"> </w:t>
            </w:r>
            <w:proofErr w:type="spellStart"/>
            <w:r w:rsidRPr="00FA2F77">
              <w:rPr>
                <w:rFonts w:ascii="Sylfaen" w:hAnsi="Sylfaen" w:cs="Sylfaen"/>
                <w:sz w:val="20"/>
                <w:szCs w:val="20"/>
              </w:rPr>
              <w:t>სექტორს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მიკუთვნებულ</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საწარმოთა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ფინანსური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მაჩვენებლები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შესაბამისი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რისკები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გაანალიზებული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იქნეს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მთავრობის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ვალსა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ერთიანი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ბიუჯეტის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დეფიციტზე</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ზემოქმედების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კონტექსტში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მათ</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შორის</w:t>
            </w:r>
            <w:proofErr w:type="spellEnd"/>
            <w:r w:rsidRPr="00FA2F77">
              <w:rPr>
                <w:rFonts w:ascii="Sylfaen" w:hAnsi="Sylfaen" w:cs="Sylfaen"/>
                <w:sz w:val="20"/>
                <w:szCs w:val="20"/>
              </w:rPr>
              <w:t>, „</w:t>
            </w:r>
            <w:proofErr w:type="spellStart"/>
            <w:r w:rsidRPr="00FA2F77">
              <w:rPr>
                <w:rFonts w:ascii="Sylfaen" w:hAnsi="Sylfaen" w:cs="Sylfaen"/>
                <w:sz w:val="20"/>
                <w:szCs w:val="20"/>
              </w:rPr>
              <w:t>მთავრობის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ვალის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მდგრადობის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ანალიზის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დოკუმენტში</w:t>
            </w:r>
            <w:proofErr w:type="spellEnd"/>
            <w:r w:rsidRPr="00FA2F77">
              <w:rPr>
                <w:rFonts w:ascii="Sylfaen" w:hAnsi="Sylfaen" w:cs="Sylfaen"/>
                <w:sz w:val="20"/>
                <w:szCs w:val="20"/>
              </w:rPr>
              <w:t>.</w:t>
            </w:r>
          </w:p>
        </w:tc>
        <w:tc>
          <w:tcPr>
            <w:tcW w:w="1260" w:type="dxa"/>
          </w:tcPr>
          <w:p w14:paraId="620A3B26" w14:textId="77777777" w:rsidR="00C543A3" w:rsidRPr="00FA2F77" w:rsidRDefault="00C543A3" w:rsidP="00C543A3">
            <w:pPr>
              <w:jc w:val="center"/>
              <w:rPr>
                <w:rFonts w:ascii="Sylfaen" w:hAnsi="Sylfaen"/>
                <w:noProof/>
                <w:sz w:val="20"/>
                <w:szCs w:val="20"/>
                <w:lang w:val="ka-GE"/>
              </w:rPr>
            </w:pPr>
            <w:r w:rsidRPr="00FA2F77">
              <w:rPr>
                <w:rFonts w:ascii="Sylfaen" w:hAnsi="Sylfaen"/>
                <w:noProof/>
                <w:sz w:val="20"/>
                <w:szCs w:val="20"/>
                <w:lang w:val="ka-GE"/>
              </w:rPr>
              <w:t xml:space="preserve">2024 წელი,  </w:t>
            </w:r>
            <w:r w:rsidRPr="00FA2F77">
              <w:rPr>
                <w:rFonts w:ascii="Sylfaen" w:hAnsi="Sylfaen"/>
                <w:noProof/>
                <w:sz w:val="20"/>
                <w:szCs w:val="20"/>
              </w:rPr>
              <w:t>IV</w:t>
            </w:r>
            <w:r w:rsidRPr="00FA2F77">
              <w:rPr>
                <w:rFonts w:ascii="Sylfaen" w:hAnsi="Sylfaen"/>
                <w:noProof/>
                <w:sz w:val="20"/>
                <w:szCs w:val="20"/>
                <w:lang w:val="en-GB"/>
              </w:rPr>
              <w:t xml:space="preserve"> </w:t>
            </w:r>
            <w:r w:rsidRPr="00FA2F77">
              <w:rPr>
                <w:rFonts w:ascii="Sylfaen" w:hAnsi="Sylfaen"/>
                <w:noProof/>
                <w:sz w:val="20"/>
                <w:szCs w:val="20"/>
                <w:lang w:val="ka-GE"/>
              </w:rPr>
              <w:t>კვ.</w:t>
            </w:r>
          </w:p>
          <w:p w14:paraId="3D8C1C36" w14:textId="77777777" w:rsidR="00F44287" w:rsidRPr="00FA2F77" w:rsidRDefault="00F44287" w:rsidP="00742134">
            <w:pPr>
              <w:jc w:val="center"/>
              <w:rPr>
                <w:rFonts w:ascii="Sylfaen" w:hAnsi="Sylfaen"/>
                <w:sz w:val="20"/>
                <w:szCs w:val="20"/>
                <w:lang w:val="ka-GE"/>
              </w:rPr>
            </w:pPr>
          </w:p>
        </w:tc>
        <w:tc>
          <w:tcPr>
            <w:tcW w:w="1530" w:type="dxa"/>
          </w:tcPr>
          <w:p w14:paraId="432323AD" w14:textId="77777777" w:rsidR="00F44287" w:rsidRPr="00FA2F77" w:rsidRDefault="00F44287" w:rsidP="00450A25">
            <w:pPr>
              <w:jc w:val="center"/>
              <w:rPr>
                <w:rFonts w:ascii="Sylfaen" w:hAnsi="Sylfaen"/>
                <w:sz w:val="20"/>
                <w:szCs w:val="20"/>
                <w:lang w:val="ka-GE"/>
              </w:rPr>
            </w:pPr>
            <w:r w:rsidRPr="00FA2F77">
              <w:rPr>
                <w:rFonts w:ascii="Sylfaen" w:hAnsi="Sylfaen" w:cs="Sylfaen"/>
                <w:sz w:val="20"/>
                <w:szCs w:val="20"/>
                <w:lang w:val="ka-GE"/>
              </w:rPr>
              <w:t>საქართველოს ფინანსთა სამინისტრო</w:t>
            </w:r>
          </w:p>
        </w:tc>
        <w:tc>
          <w:tcPr>
            <w:tcW w:w="3510" w:type="dxa"/>
          </w:tcPr>
          <w:p w14:paraId="361C7871" w14:textId="77777777" w:rsidR="00F44287" w:rsidRPr="00FA2F77" w:rsidRDefault="00C543A3" w:rsidP="00A37378">
            <w:pPr>
              <w:jc w:val="both"/>
              <w:rPr>
                <w:rFonts w:ascii="Sylfaen" w:hAnsi="Sylfaen"/>
                <w:sz w:val="20"/>
                <w:szCs w:val="20"/>
                <w:lang w:val="ka-GE"/>
              </w:rPr>
            </w:pPr>
            <w:r w:rsidRPr="00FA2F77">
              <w:rPr>
                <w:rFonts w:ascii="Sylfaen" w:hAnsi="Sylfaen"/>
                <w:noProof/>
                <w:sz w:val="20"/>
                <w:szCs w:val="20"/>
                <w:lang w:val="ka-GE"/>
              </w:rPr>
              <w:t xml:space="preserve">„სამთავრობო სექტორისთვის მიკუთვნებული სახელმწიფო საწარმოების მიერ საქართველოს ფინანსთა სამინისტროსთვის კვარტალურად და წლიურად წარსადგენი ინფორმაციის ნუსხისა და მათი წარდგენის ვადების დამტკიცების შესახებ“ საქართველოს ფინანსთა მინისტრის 2023 წლის 15 თებერვლის N46 ბრძანებაში შეტანილი ცვლილება, რომელიც სამთავრობო სექტორს მიკუთვნებულ საწარმოებს </w:t>
            </w:r>
            <w:r w:rsidRPr="00FA2F77">
              <w:rPr>
                <w:rFonts w:ascii="Sylfaen" w:hAnsi="Sylfaen"/>
                <w:noProof/>
                <w:sz w:val="20"/>
                <w:szCs w:val="20"/>
                <w:lang w:val="ka-GE"/>
              </w:rPr>
              <w:lastRenderedPageBreak/>
              <w:t>ავალდებულებს საანგარიშო პერიოდში არსებული ვალის ნაშთების შესახებ ინფორმაციის წარმოდგენას.</w:t>
            </w:r>
          </w:p>
        </w:tc>
        <w:tc>
          <w:tcPr>
            <w:tcW w:w="4355" w:type="dxa"/>
          </w:tcPr>
          <w:p w14:paraId="7D4563A9" w14:textId="77777777" w:rsidR="00FA2F77" w:rsidRPr="00FA2F77" w:rsidRDefault="00FA2F77" w:rsidP="00FA2F77">
            <w:pPr>
              <w:jc w:val="both"/>
              <w:rPr>
                <w:rFonts w:ascii="Sylfaen" w:hAnsi="Sylfaen"/>
                <w:noProof/>
                <w:sz w:val="20"/>
                <w:szCs w:val="20"/>
                <w:lang w:val="ka-GE"/>
              </w:rPr>
            </w:pPr>
            <w:r w:rsidRPr="00FA2F77">
              <w:rPr>
                <w:rFonts w:ascii="Sylfaen" w:hAnsi="Sylfaen"/>
                <w:noProof/>
                <w:sz w:val="20"/>
                <w:szCs w:val="20"/>
                <w:lang w:val="ka-GE"/>
              </w:rPr>
              <w:lastRenderedPageBreak/>
              <w:t>მიმდინარეობს მუშაობა</w:t>
            </w:r>
            <w:r w:rsidR="008D032E">
              <w:rPr>
                <w:rFonts w:ascii="Sylfaen" w:hAnsi="Sylfaen"/>
                <w:noProof/>
                <w:sz w:val="20"/>
                <w:szCs w:val="20"/>
                <w:lang w:val="ka-GE"/>
              </w:rPr>
              <w:t xml:space="preserve"> </w:t>
            </w:r>
          </w:p>
          <w:p w14:paraId="6A0D37B6" w14:textId="77777777" w:rsidR="00FA2F77" w:rsidRPr="00FA2F77" w:rsidRDefault="00FA2F77" w:rsidP="00FA2F77">
            <w:pPr>
              <w:jc w:val="both"/>
              <w:rPr>
                <w:rFonts w:ascii="Sylfaen" w:hAnsi="Sylfaen"/>
                <w:noProof/>
                <w:sz w:val="20"/>
                <w:szCs w:val="20"/>
                <w:lang w:val="ka-GE"/>
              </w:rPr>
            </w:pPr>
          </w:p>
          <w:p w14:paraId="1C6AB0C1" w14:textId="791CA7A5" w:rsidR="00E60977" w:rsidRPr="00E60977" w:rsidRDefault="00E60977" w:rsidP="00E60977">
            <w:pPr>
              <w:jc w:val="both"/>
              <w:rPr>
                <w:rFonts w:ascii="Sylfaen" w:hAnsi="Sylfaen"/>
                <w:noProof/>
                <w:sz w:val="20"/>
                <w:szCs w:val="20"/>
                <w:lang w:val="ka-GE"/>
              </w:rPr>
            </w:pPr>
            <w:r w:rsidRPr="00E60977">
              <w:rPr>
                <w:rFonts w:ascii="Sylfaen" w:hAnsi="Sylfaen"/>
                <w:noProof/>
                <w:sz w:val="20"/>
                <w:szCs w:val="20"/>
                <w:lang w:val="ka-GE"/>
              </w:rPr>
              <w:t>2025 წლის სახელმწიფო ბიუჯეტის კანონზე თანდართული ინფორმაცია ფისკალური რისკების შესახებ და სახელმწიფო საწარმოთა აგრეგირებული ანგარიში მოიცავს სამთავრობო სექტორს მიკუთვნებული საწარმოების ვალის ოდენობის შესახებ მონაცემს</w:t>
            </w:r>
            <w:r>
              <w:rPr>
                <w:rFonts w:ascii="Sylfaen" w:hAnsi="Sylfaen"/>
                <w:noProof/>
                <w:sz w:val="20"/>
                <w:szCs w:val="20"/>
                <w:lang w:val="ka-GE"/>
              </w:rPr>
              <w:t xml:space="preserve"> (</w:t>
            </w:r>
            <w:r w:rsidRPr="00E60977">
              <w:rPr>
                <w:rFonts w:ascii="Sylfaen" w:hAnsi="Sylfaen"/>
                <w:noProof/>
                <w:sz w:val="20"/>
                <w:szCs w:val="20"/>
                <w:lang w:val="ka-GE"/>
              </w:rPr>
              <w:t xml:space="preserve">22.6 მლნ </w:t>
            </w:r>
            <w:r>
              <w:rPr>
                <w:rFonts w:ascii="Sylfaen" w:hAnsi="Sylfaen"/>
                <w:noProof/>
                <w:sz w:val="20"/>
                <w:szCs w:val="20"/>
                <w:lang w:val="ka-GE"/>
              </w:rPr>
              <w:t>ლარი)</w:t>
            </w:r>
            <w:r w:rsidRPr="00E60977">
              <w:rPr>
                <w:rFonts w:ascii="Sylfaen" w:hAnsi="Sylfaen"/>
                <w:noProof/>
                <w:sz w:val="20"/>
                <w:szCs w:val="20"/>
                <w:lang w:val="ka-GE"/>
              </w:rPr>
              <w:t xml:space="preserve">, რაც შეიძლება ითქვას, არ არის არსებითი მოცულობა მთლიან რისკებთან მიმართებაში. აღნიშნული მონაცემი არ არის გათვალისწინებული ვალის მდგრადობის </w:t>
            </w:r>
            <w:r w:rsidRPr="00E60977">
              <w:rPr>
                <w:rFonts w:ascii="Sylfaen" w:hAnsi="Sylfaen"/>
                <w:noProof/>
                <w:sz w:val="20"/>
                <w:szCs w:val="20"/>
                <w:lang w:val="ka-GE"/>
              </w:rPr>
              <w:lastRenderedPageBreak/>
              <w:t xml:space="preserve">ანალიზში.  გარდა ამისა, საქართველოს ფინანსთა სამინისტრო რეგულარულად (ყოველთვიურად) ანახლებს ინფორმაციას სამთავრობო სექტორს მიკუთვნებული საწარმოების ვალის შესახებ (არაოფიციალურად, ელექტრონული ფოსტის მეშვეობით).  </w:t>
            </w:r>
          </w:p>
          <w:p w14:paraId="02CA13D5" w14:textId="41A388A4" w:rsidR="00F44287" w:rsidRPr="00FA2F77" w:rsidRDefault="00E60977" w:rsidP="00E60977">
            <w:pPr>
              <w:jc w:val="both"/>
              <w:rPr>
                <w:rFonts w:ascii="Sylfaen" w:hAnsi="Sylfaen"/>
                <w:noProof/>
                <w:sz w:val="20"/>
                <w:szCs w:val="20"/>
                <w:lang w:val="ka-GE"/>
              </w:rPr>
            </w:pPr>
            <w:r w:rsidRPr="00E60977">
              <w:rPr>
                <w:rFonts w:ascii="Sylfaen" w:hAnsi="Sylfaen"/>
                <w:noProof/>
                <w:sz w:val="20"/>
                <w:szCs w:val="20"/>
                <w:lang w:val="ka-GE"/>
              </w:rPr>
              <w:t>დაგეგმილია საქართველოს ფინანსთა მინისტრის N46 ბრძანებით დამტკიცებულ სამთავრობო სექტორს მიკუთვნებული საწარმოების ანგარიშგების ფორმებში ცვლილება და სამთავრობო სექტორს მიკუთვნებული საწარმოების ვალის შესახებ ინფორმაციის საქართველოს ფინანსთა სამინისტროში წარმოდგენის ვალდებულების ასახვა.   ამასთან, 2026 წლის ბიუჯეტის წარდგენისას სამთავრობო სექტორს მიკუთვნებული საწარმოების ვალის შესახებ ინფორმაცია ასახული იქნება ვალის მდგრადობის ანალიზის დოკუმენტში.</w:t>
            </w:r>
          </w:p>
        </w:tc>
      </w:tr>
      <w:tr w:rsidR="00F44287" w:rsidRPr="00FA2F77" w14:paraId="5B383BB6" w14:textId="77777777" w:rsidTr="0051685C">
        <w:trPr>
          <w:trHeight w:val="113"/>
        </w:trPr>
        <w:tc>
          <w:tcPr>
            <w:tcW w:w="450" w:type="dxa"/>
          </w:tcPr>
          <w:p w14:paraId="24A43579" w14:textId="5A321E01" w:rsidR="00F44287" w:rsidRPr="00E60977" w:rsidRDefault="00E60977" w:rsidP="00742134">
            <w:pPr>
              <w:jc w:val="both"/>
              <w:rPr>
                <w:rFonts w:ascii="Sylfaen" w:hAnsi="Sylfaen" w:cs="Sylfaen"/>
                <w:sz w:val="20"/>
                <w:szCs w:val="20"/>
                <w:lang w:val="ka-GE"/>
              </w:rPr>
            </w:pPr>
            <w:r>
              <w:rPr>
                <w:rFonts w:ascii="Sylfaen" w:hAnsi="Sylfaen" w:cs="Sylfaen"/>
                <w:sz w:val="20"/>
                <w:szCs w:val="20"/>
                <w:lang w:val="ka-GE"/>
              </w:rPr>
              <w:lastRenderedPageBreak/>
              <w:t>3</w:t>
            </w:r>
          </w:p>
        </w:tc>
        <w:tc>
          <w:tcPr>
            <w:tcW w:w="3780" w:type="dxa"/>
          </w:tcPr>
          <w:p w14:paraId="4AA41DED" w14:textId="77777777" w:rsidR="00F44287" w:rsidRPr="00FA2F77" w:rsidRDefault="00C543A3" w:rsidP="00742134">
            <w:pPr>
              <w:jc w:val="both"/>
              <w:rPr>
                <w:rFonts w:ascii="Sylfaen" w:hAnsi="Sylfaen" w:cs="Sylfaen"/>
                <w:sz w:val="20"/>
                <w:szCs w:val="20"/>
              </w:rPr>
            </w:pPr>
            <w:proofErr w:type="spellStart"/>
            <w:proofErr w:type="gramStart"/>
            <w:r w:rsidRPr="00FA2F77">
              <w:rPr>
                <w:rFonts w:ascii="Sylfaen" w:hAnsi="Sylfaen" w:cs="Sylfaen"/>
                <w:sz w:val="20"/>
                <w:szCs w:val="20"/>
              </w:rPr>
              <w:t>მიზანშეწონილია</w:t>
            </w:r>
            <w:proofErr w:type="spellEnd"/>
            <w:proofErr w:type="gramEnd"/>
            <w:r w:rsidRPr="00FA2F77">
              <w:rPr>
                <w:rFonts w:ascii="Sylfaen" w:hAnsi="Sylfaen" w:cs="Sylfaen"/>
                <w:sz w:val="20"/>
                <w:szCs w:val="20"/>
              </w:rPr>
              <w:t xml:space="preserve">, </w:t>
            </w:r>
            <w:proofErr w:type="spellStart"/>
            <w:r w:rsidRPr="00FA2F77">
              <w:rPr>
                <w:rFonts w:ascii="Sylfaen" w:hAnsi="Sylfaen" w:cs="Sylfaen"/>
                <w:sz w:val="20"/>
                <w:szCs w:val="20"/>
              </w:rPr>
              <w:t>სახელმწიფო</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ბიუჯეტის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კანონზე</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თანდართულ</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ფისკალური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რისკების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ანალიზის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დოკუმენტში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წარმოდგენილი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იქნეს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ინფორმაცია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საქართველოში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მოქმედი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დეპოზიტების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დაზღვევის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სისტემიდან</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მომდინარე</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პოტენციური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რისკების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შესახებ</w:t>
            </w:r>
            <w:proofErr w:type="spellEnd"/>
            <w:r w:rsidRPr="00FA2F77">
              <w:rPr>
                <w:rFonts w:ascii="Sylfaen" w:hAnsi="Sylfaen" w:cs="Sylfaen"/>
                <w:sz w:val="20"/>
                <w:szCs w:val="20"/>
              </w:rPr>
              <w:t>.</w:t>
            </w:r>
          </w:p>
        </w:tc>
        <w:tc>
          <w:tcPr>
            <w:tcW w:w="1260" w:type="dxa"/>
          </w:tcPr>
          <w:p w14:paraId="151CE511" w14:textId="77777777" w:rsidR="00F44287" w:rsidRPr="00FA2F77" w:rsidRDefault="00F44287" w:rsidP="00742134">
            <w:pPr>
              <w:jc w:val="center"/>
              <w:rPr>
                <w:rFonts w:ascii="Sylfaen" w:hAnsi="Sylfaen"/>
                <w:sz w:val="20"/>
                <w:szCs w:val="20"/>
                <w:lang w:val="ka-GE"/>
              </w:rPr>
            </w:pPr>
          </w:p>
        </w:tc>
        <w:tc>
          <w:tcPr>
            <w:tcW w:w="1530" w:type="dxa"/>
          </w:tcPr>
          <w:p w14:paraId="108C7A19" w14:textId="77777777" w:rsidR="00F44287" w:rsidRPr="00FA2F77" w:rsidRDefault="00F44287" w:rsidP="00742134">
            <w:pPr>
              <w:jc w:val="center"/>
              <w:rPr>
                <w:rFonts w:ascii="Sylfaen" w:hAnsi="Sylfaen"/>
                <w:sz w:val="20"/>
                <w:szCs w:val="20"/>
                <w:lang w:val="ka-GE"/>
              </w:rPr>
            </w:pPr>
            <w:r w:rsidRPr="00FA2F77">
              <w:rPr>
                <w:rFonts w:ascii="Sylfaen" w:hAnsi="Sylfaen" w:cs="Sylfaen"/>
                <w:sz w:val="20"/>
                <w:szCs w:val="20"/>
                <w:lang w:val="ka-GE"/>
              </w:rPr>
              <w:t>საქართველოს ფინანსთა სამინისტრო</w:t>
            </w:r>
          </w:p>
        </w:tc>
        <w:tc>
          <w:tcPr>
            <w:tcW w:w="3510" w:type="dxa"/>
          </w:tcPr>
          <w:p w14:paraId="7834B80B" w14:textId="77777777" w:rsidR="00F44287" w:rsidRPr="00FA2F77" w:rsidRDefault="00F44287" w:rsidP="00742134">
            <w:pPr>
              <w:jc w:val="both"/>
              <w:rPr>
                <w:rFonts w:ascii="Sylfaen" w:hAnsi="Sylfaen"/>
                <w:sz w:val="20"/>
                <w:szCs w:val="20"/>
                <w:lang w:val="ka-GE"/>
              </w:rPr>
            </w:pPr>
          </w:p>
        </w:tc>
        <w:tc>
          <w:tcPr>
            <w:tcW w:w="4355" w:type="dxa"/>
          </w:tcPr>
          <w:p w14:paraId="19856939" w14:textId="77777777" w:rsidR="003C0532" w:rsidRDefault="003C0532" w:rsidP="003C0532">
            <w:pPr>
              <w:jc w:val="both"/>
              <w:rPr>
                <w:rFonts w:ascii="Sylfaen" w:hAnsi="Sylfaen"/>
                <w:sz w:val="20"/>
                <w:szCs w:val="20"/>
                <w:lang w:val="ka-GE"/>
              </w:rPr>
            </w:pPr>
            <w:r>
              <w:rPr>
                <w:rFonts w:ascii="Sylfaen" w:hAnsi="Sylfaen"/>
                <w:sz w:val="20"/>
                <w:szCs w:val="20"/>
                <w:lang w:val="ka-GE"/>
              </w:rPr>
              <w:t xml:space="preserve">აღნიშნული ინფორმაცია გამოქვეყნებულია </w:t>
            </w:r>
            <w:r w:rsidR="00456F33">
              <w:rPr>
                <w:rFonts w:ascii="Sylfaen" w:hAnsi="Sylfaen"/>
                <w:sz w:val="20"/>
                <w:szCs w:val="20"/>
                <w:lang w:val="ka-GE"/>
              </w:rPr>
              <w:t xml:space="preserve">სსიპ - </w:t>
            </w:r>
            <w:r>
              <w:rPr>
                <w:rFonts w:ascii="Sylfaen" w:hAnsi="Sylfaen"/>
                <w:sz w:val="20"/>
                <w:szCs w:val="20"/>
                <w:lang w:val="ka-GE"/>
              </w:rPr>
              <w:t xml:space="preserve">დეპოზიტების დაზღვევის სააგენტოს ვებ-გვერდზე. </w:t>
            </w:r>
          </w:p>
          <w:p w14:paraId="2E22607D" w14:textId="77777777" w:rsidR="003C0532" w:rsidRDefault="003C0532" w:rsidP="003C0532">
            <w:pPr>
              <w:jc w:val="both"/>
              <w:rPr>
                <w:rFonts w:ascii="Sylfaen" w:hAnsi="Sylfaen"/>
                <w:sz w:val="20"/>
                <w:szCs w:val="20"/>
                <w:lang w:val="ka-GE"/>
              </w:rPr>
            </w:pPr>
          </w:p>
          <w:p w14:paraId="77DC5866" w14:textId="77777777" w:rsidR="00F44287" w:rsidRPr="00FA2F77" w:rsidRDefault="003C0532" w:rsidP="003C0532">
            <w:pPr>
              <w:jc w:val="both"/>
              <w:rPr>
                <w:rFonts w:ascii="Sylfaen" w:hAnsi="Sylfaen"/>
                <w:color w:val="FF0000"/>
                <w:sz w:val="20"/>
                <w:szCs w:val="20"/>
                <w:lang w:val="ka-GE"/>
              </w:rPr>
            </w:pPr>
            <w:r>
              <w:rPr>
                <w:rFonts w:ascii="Sylfaen" w:hAnsi="Sylfaen"/>
                <w:sz w:val="20"/>
                <w:szCs w:val="20"/>
                <w:lang w:val="ka-GE"/>
              </w:rPr>
              <w:t xml:space="preserve">ამასთან, </w:t>
            </w:r>
            <w:r w:rsidR="005843D2">
              <w:rPr>
                <w:rFonts w:ascii="Sylfaen" w:hAnsi="Sylfaen"/>
                <w:sz w:val="20"/>
                <w:szCs w:val="20"/>
                <w:lang w:val="ka-GE"/>
              </w:rPr>
              <w:t xml:space="preserve">საქართველოს </w:t>
            </w:r>
            <w:r>
              <w:rPr>
                <w:rFonts w:ascii="Sylfaen" w:hAnsi="Sylfaen"/>
                <w:sz w:val="20"/>
                <w:szCs w:val="20"/>
                <w:lang w:val="ka-GE"/>
              </w:rPr>
              <w:t>ფინანსთა სამინისტროს მიერ არ იგეგმება აღნიშნული მიმართულებით დამატებითი ანალიზის განხორციელება.</w:t>
            </w:r>
          </w:p>
        </w:tc>
      </w:tr>
      <w:tr w:rsidR="00C543A3" w:rsidRPr="00FA2F77" w14:paraId="7EBF1919" w14:textId="77777777" w:rsidTr="0051685C">
        <w:trPr>
          <w:trHeight w:val="113"/>
        </w:trPr>
        <w:tc>
          <w:tcPr>
            <w:tcW w:w="450" w:type="dxa"/>
          </w:tcPr>
          <w:p w14:paraId="383B5F4C" w14:textId="73A864B3" w:rsidR="00C543A3" w:rsidRPr="00FA2F77" w:rsidRDefault="00E60977" w:rsidP="00C543A3">
            <w:pPr>
              <w:spacing w:line="276" w:lineRule="auto"/>
              <w:jc w:val="both"/>
              <w:rPr>
                <w:rFonts w:ascii="Sylfaen" w:hAnsi="Sylfaen" w:cs="Sylfaen"/>
                <w:sz w:val="20"/>
                <w:szCs w:val="20"/>
                <w:lang w:val="ka-GE"/>
              </w:rPr>
            </w:pPr>
            <w:r>
              <w:rPr>
                <w:rFonts w:ascii="Sylfaen" w:hAnsi="Sylfaen" w:cs="Sylfaen"/>
                <w:sz w:val="20"/>
                <w:szCs w:val="20"/>
                <w:lang w:val="ka-GE"/>
              </w:rPr>
              <w:t>4</w:t>
            </w:r>
          </w:p>
        </w:tc>
        <w:tc>
          <w:tcPr>
            <w:tcW w:w="3780" w:type="dxa"/>
          </w:tcPr>
          <w:p w14:paraId="58C3BB21" w14:textId="77777777" w:rsidR="00C543A3" w:rsidRPr="00FA2F77" w:rsidRDefault="00C543A3" w:rsidP="00C543A3">
            <w:pPr>
              <w:spacing w:line="276" w:lineRule="auto"/>
              <w:jc w:val="both"/>
              <w:rPr>
                <w:rFonts w:ascii="Sylfaen" w:hAnsi="Sylfaen" w:cs="Sylfaen"/>
                <w:sz w:val="20"/>
                <w:szCs w:val="20"/>
                <w:lang w:val="ka-GE"/>
              </w:rPr>
            </w:pPr>
            <w:proofErr w:type="spellStart"/>
            <w:proofErr w:type="gramStart"/>
            <w:r w:rsidRPr="00FA2F77">
              <w:rPr>
                <w:rFonts w:ascii="Sylfaen" w:hAnsi="Sylfaen" w:cs="Sylfaen"/>
                <w:sz w:val="20"/>
                <w:szCs w:val="20"/>
              </w:rPr>
              <w:t>მიზანშეწონილია</w:t>
            </w:r>
            <w:proofErr w:type="spellEnd"/>
            <w:proofErr w:type="gramEnd"/>
            <w:r w:rsidRPr="00FA2F77">
              <w:rPr>
                <w:rFonts w:ascii="Sylfaen" w:hAnsi="Sylfaen" w:cs="Sylfaen"/>
                <w:sz w:val="20"/>
                <w:szCs w:val="20"/>
              </w:rPr>
              <w:t xml:space="preserve">, </w:t>
            </w:r>
            <w:proofErr w:type="spellStart"/>
            <w:r w:rsidRPr="00FA2F77">
              <w:rPr>
                <w:rFonts w:ascii="Sylfaen" w:hAnsi="Sylfaen" w:cs="Sylfaen"/>
                <w:sz w:val="20"/>
                <w:szCs w:val="20"/>
              </w:rPr>
              <w:t>ფინანსთა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სამინისტრომ</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შეიმუშაოს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სისტემური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მიდგომა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რომელიც</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უზრუნველყოფს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სახაზინო</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სამსახურის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მიერ</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lastRenderedPageBreak/>
              <w:t>კომერციულ</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ბანკებში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განთავსებული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სსიპ</w:t>
            </w:r>
            <w:proofErr w:type="spellEnd"/>
            <w:r w:rsidRPr="00FA2F77">
              <w:rPr>
                <w:rFonts w:ascii="Sylfaen" w:hAnsi="Sylfaen" w:cs="Sylfaen"/>
                <w:sz w:val="20"/>
                <w:szCs w:val="20"/>
              </w:rPr>
              <w:t>/ა(ა)</w:t>
            </w:r>
            <w:proofErr w:type="spellStart"/>
            <w:r w:rsidRPr="00FA2F77">
              <w:rPr>
                <w:rFonts w:ascii="Sylfaen" w:hAnsi="Sylfaen" w:cs="Sylfaen"/>
                <w:sz w:val="20"/>
                <w:szCs w:val="20"/>
              </w:rPr>
              <w:t>იპ-ების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ფინანსური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რესურსების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შესახებ</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სრული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და</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ზუსტი</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ინფორმაციის</w:t>
            </w:r>
            <w:proofErr w:type="spellEnd"/>
            <w:r w:rsidRPr="00FA2F77">
              <w:rPr>
                <w:rFonts w:ascii="Sylfaen" w:hAnsi="Sylfaen" w:cs="Sylfaen"/>
                <w:sz w:val="20"/>
                <w:szCs w:val="20"/>
              </w:rPr>
              <w:t xml:space="preserve"> </w:t>
            </w:r>
            <w:proofErr w:type="spellStart"/>
            <w:r w:rsidRPr="00FA2F77">
              <w:rPr>
                <w:rFonts w:ascii="Sylfaen" w:hAnsi="Sylfaen" w:cs="Sylfaen"/>
                <w:sz w:val="20"/>
                <w:szCs w:val="20"/>
              </w:rPr>
              <w:t>ფლობას</w:t>
            </w:r>
            <w:proofErr w:type="spellEnd"/>
            <w:r w:rsidRPr="00FA2F77">
              <w:rPr>
                <w:rFonts w:ascii="Sylfaen" w:hAnsi="Sylfaen" w:cs="Sylfaen"/>
                <w:sz w:val="20"/>
                <w:szCs w:val="20"/>
              </w:rPr>
              <w:t>.</w:t>
            </w:r>
          </w:p>
        </w:tc>
        <w:tc>
          <w:tcPr>
            <w:tcW w:w="1260" w:type="dxa"/>
          </w:tcPr>
          <w:p w14:paraId="67EEB6A1" w14:textId="77777777" w:rsidR="00C543A3" w:rsidRPr="00FA2F77" w:rsidRDefault="00C543A3" w:rsidP="00C543A3">
            <w:pPr>
              <w:jc w:val="center"/>
              <w:rPr>
                <w:rFonts w:ascii="Sylfaen" w:hAnsi="Sylfaen"/>
                <w:sz w:val="20"/>
                <w:szCs w:val="20"/>
                <w:lang w:val="ka-GE"/>
              </w:rPr>
            </w:pPr>
            <w:r w:rsidRPr="00FA2F77">
              <w:rPr>
                <w:rFonts w:ascii="Sylfaen" w:hAnsi="Sylfaen"/>
                <w:sz w:val="20"/>
                <w:szCs w:val="20"/>
              </w:rPr>
              <w:lastRenderedPageBreak/>
              <w:t xml:space="preserve">2024 </w:t>
            </w:r>
            <w:r w:rsidRPr="00FA2F77">
              <w:rPr>
                <w:rFonts w:ascii="Sylfaen" w:hAnsi="Sylfaen"/>
                <w:sz w:val="20"/>
                <w:szCs w:val="20"/>
                <w:lang w:val="ka-GE"/>
              </w:rPr>
              <w:t xml:space="preserve">წელი, </w:t>
            </w:r>
            <w:r w:rsidRPr="00FA2F77">
              <w:rPr>
                <w:rFonts w:ascii="Sylfaen" w:hAnsi="Sylfaen"/>
                <w:sz w:val="20"/>
                <w:szCs w:val="20"/>
              </w:rPr>
              <w:t xml:space="preserve">IV </w:t>
            </w:r>
            <w:r w:rsidRPr="00FA2F77">
              <w:rPr>
                <w:rFonts w:ascii="Sylfaen" w:hAnsi="Sylfaen"/>
                <w:sz w:val="20"/>
                <w:szCs w:val="20"/>
                <w:lang w:val="ka-GE"/>
              </w:rPr>
              <w:t>კვ.</w:t>
            </w:r>
          </w:p>
        </w:tc>
        <w:tc>
          <w:tcPr>
            <w:tcW w:w="1530" w:type="dxa"/>
          </w:tcPr>
          <w:p w14:paraId="4BE12FEE" w14:textId="77777777" w:rsidR="00C543A3" w:rsidRPr="00FA2F77" w:rsidRDefault="00C543A3" w:rsidP="00C543A3">
            <w:pPr>
              <w:jc w:val="center"/>
              <w:rPr>
                <w:rFonts w:ascii="Sylfaen" w:hAnsi="Sylfaen"/>
                <w:sz w:val="20"/>
                <w:szCs w:val="20"/>
              </w:rPr>
            </w:pPr>
            <w:r w:rsidRPr="00FA2F77">
              <w:rPr>
                <w:rFonts w:ascii="Sylfaen" w:hAnsi="Sylfaen" w:cs="Sylfaen"/>
                <w:sz w:val="20"/>
                <w:szCs w:val="20"/>
                <w:lang w:val="ka-GE"/>
              </w:rPr>
              <w:t xml:space="preserve">საქართველოს ფინანსთა სამინისტროს </w:t>
            </w:r>
            <w:r w:rsidRPr="00FA2F77">
              <w:rPr>
                <w:rFonts w:ascii="Sylfaen" w:hAnsi="Sylfaen" w:cs="Sylfaen"/>
                <w:sz w:val="20"/>
                <w:szCs w:val="20"/>
                <w:lang w:val="ka-GE"/>
              </w:rPr>
              <w:lastRenderedPageBreak/>
              <w:t>სახაზინო სამსახური</w:t>
            </w:r>
          </w:p>
        </w:tc>
        <w:tc>
          <w:tcPr>
            <w:tcW w:w="3510" w:type="dxa"/>
          </w:tcPr>
          <w:p w14:paraId="18F89774" w14:textId="77777777" w:rsidR="00C543A3" w:rsidRPr="00FA2F77" w:rsidRDefault="00C543A3" w:rsidP="00C543A3">
            <w:pPr>
              <w:jc w:val="both"/>
              <w:rPr>
                <w:rFonts w:ascii="Sylfaen" w:hAnsi="Sylfaen" w:cs="Sylfaen"/>
                <w:sz w:val="20"/>
                <w:szCs w:val="20"/>
                <w:lang w:val="ka-GE"/>
              </w:rPr>
            </w:pPr>
            <w:r w:rsidRPr="00FA2F77">
              <w:rPr>
                <w:rFonts w:ascii="Sylfaen" w:hAnsi="Sylfaen" w:cs="Sylfaen"/>
                <w:sz w:val="20"/>
                <w:szCs w:val="20"/>
                <w:lang w:val="ka-GE"/>
              </w:rPr>
              <w:lastRenderedPageBreak/>
              <w:t xml:space="preserve">„ბიუჯეტების შემოსულობების აღრიცხვა-ანგარიშგებისა და ანგარიშსწორების განხორციელებისა და ბიუჯეტში </w:t>
            </w:r>
            <w:r w:rsidRPr="00FA2F77">
              <w:rPr>
                <w:rFonts w:ascii="Sylfaen" w:hAnsi="Sylfaen" w:cs="Sylfaen"/>
                <w:sz w:val="20"/>
                <w:szCs w:val="20"/>
                <w:lang w:val="ka-GE"/>
              </w:rPr>
              <w:lastRenderedPageBreak/>
              <w:t>ზედმეტად ან შეცდომით გადახდილი შემოსულობის თანხის დაბრუნების, აღრიცხვისა და ანგარიშგების შესახებ“ საქართველოს ფინანსთა მინისტრის 2009 წლის 30 დეკემბრის N916 ბრძანებაში შეტანილი ცვლილება, რომელიც</w:t>
            </w:r>
          </w:p>
          <w:p w14:paraId="13D6F664" w14:textId="77777777" w:rsidR="00C543A3" w:rsidRPr="00FA2F77" w:rsidRDefault="00C543A3" w:rsidP="00C543A3">
            <w:pPr>
              <w:jc w:val="both"/>
              <w:rPr>
                <w:rFonts w:ascii="Sylfaen" w:hAnsi="Sylfaen"/>
                <w:sz w:val="20"/>
                <w:szCs w:val="20"/>
                <w:lang w:val="ka-GE"/>
              </w:rPr>
            </w:pPr>
            <w:r w:rsidRPr="00FA2F77">
              <w:rPr>
                <w:rFonts w:ascii="Sylfaen" w:hAnsi="Sylfaen" w:cs="Sylfaen"/>
                <w:sz w:val="20"/>
                <w:szCs w:val="20"/>
                <w:lang w:val="ka-GE"/>
              </w:rPr>
              <w:t>უზრუნველყოფს სსიპ/ა(ა)იპ-ების მიერ კომერციულ ბანკებში განთავსებული ფინანსური რესურსების ნაშთებზე ყოველთვიური ინფორმაციის წარმოდგენის ვალდებულების შესრულებას.</w:t>
            </w:r>
          </w:p>
        </w:tc>
        <w:tc>
          <w:tcPr>
            <w:tcW w:w="4355" w:type="dxa"/>
          </w:tcPr>
          <w:p w14:paraId="38B7051D" w14:textId="77777777" w:rsidR="00C543A3" w:rsidRDefault="00C543A3" w:rsidP="00C543A3">
            <w:pPr>
              <w:jc w:val="both"/>
              <w:rPr>
                <w:rFonts w:ascii="Sylfaen" w:hAnsi="Sylfaen"/>
                <w:sz w:val="20"/>
                <w:szCs w:val="20"/>
                <w:lang w:val="ka-GE"/>
              </w:rPr>
            </w:pPr>
            <w:r w:rsidRPr="00FA2F77">
              <w:rPr>
                <w:rFonts w:ascii="Sylfaen" w:hAnsi="Sylfaen"/>
                <w:sz w:val="20"/>
                <w:szCs w:val="20"/>
                <w:lang w:val="ka-GE"/>
              </w:rPr>
              <w:lastRenderedPageBreak/>
              <w:t xml:space="preserve"> </w:t>
            </w:r>
            <w:r w:rsidR="007A5F67">
              <w:rPr>
                <w:rFonts w:ascii="Sylfaen" w:hAnsi="Sylfaen"/>
                <w:sz w:val="20"/>
                <w:szCs w:val="20"/>
                <w:lang w:val="ka-GE"/>
              </w:rPr>
              <w:t>შესრულებულია</w:t>
            </w:r>
          </w:p>
          <w:p w14:paraId="604BF882" w14:textId="77777777" w:rsidR="007A5F67" w:rsidRDefault="007A5F67" w:rsidP="00C543A3">
            <w:pPr>
              <w:jc w:val="both"/>
              <w:rPr>
                <w:rFonts w:ascii="Sylfaen" w:hAnsi="Sylfaen"/>
                <w:sz w:val="20"/>
                <w:szCs w:val="20"/>
                <w:lang w:val="ka-GE"/>
              </w:rPr>
            </w:pPr>
          </w:p>
          <w:p w14:paraId="5D897E4C" w14:textId="77777777" w:rsidR="007A5F67" w:rsidRPr="007A5F67" w:rsidRDefault="007A5F67" w:rsidP="00984A3A">
            <w:pPr>
              <w:jc w:val="both"/>
              <w:rPr>
                <w:rFonts w:ascii="Sylfaen" w:hAnsi="Sylfaen"/>
                <w:sz w:val="20"/>
                <w:szCs w:val="20"/>
                <w:lang w:val="ka-GE"/>
              </w:rPr>
            </w:pPr>
            <w:r w:rsidRPr="00FA2F77">
              <w:rPr>
                <w:rFonts w:ascii="Sylfaen" w:hAnsi="Sylfaen" w:cs="Sylfaen"/>
                <w:sz w:val="20"/>
                <w:szCs w:val="20"/>
                <w:lang w:val="ka-GE"/>
              </w:rPr>
              <w:t>საქართველოს ფინანსთა მინისტრის 2009 წლის 30 დეკემბრის N916 ბრძანებაში</w:t>
            </w:r>
            <w:r w:rsidR="00984A3A">
              <w:rPr>
                <w:rFonts w:ascii="Sylfaen" w:hAnsi="Sylfaen" w:cs="Sylfaen"/>
                <w:sz w:val="20"/>
                <w:szCs w:val="20"/>
                <w:lang w:val="ka-GE"/>
              </w:rPr>
              <w:t xml:space="preserve"> </w:t>
            </w:r>
            <w:r w:rsidR="00984A3A">
              <w:rPr>
                <w:rFonts w:ascii="Sylfaen" w:hAnsi="Sylfaen"/>
                <w:sz w:val="20"/>
                <w:szCs w:val="20"/>
                <w:lang w:val="ka-GE"/>
              </w:rPr>
              <w:lastRenderedPageBreak/>
              <w:t xml:space="preserve">შეტანილ იქნა შესაბამისი ცვლილება 2024 წლის 25 დეკემბრის N422 ბრძანებით. </w:t>
            </w:r>
          </w:p>
        </w:tc>
      </w:tr>
    </w:tbl>
    <w:p w14:paraId="38ED3069" w14:textId="562CB51A" w:rsidR="00705573" w:rsidRPr="00C543A3" w:rsidRDefault="00705573" w:rsidP="00C543A3">
      <w:pPr>
        <w:spacing w:line="276" w:lineRule="auto"/>
        <w:jc w:val="both"/>
        <w:rPr>
          <w:rFonts w:ascii="Sylfaen" w:hAnsi="Sylfaen"/>
          <w:sz w:val="20"/>
          <w:szCs w:val="20"/>
          <w:lang w:val="ka-GE"/>
        </w:rPr>
      </w:pPr>
    </w:p>
    <w:sectPr w:rsidR="00705573" w:rsidRPr="00C543A3" w:rsidSect="00984A3A">
      <w:footerReference w:type="default" r:id="rId9"/>
      <w:footerReference w:type="first" r:id="rId10"/>
      <w:pgSz w:w="15840" w:h="12240" w:orient="landscape"/>
      <w:pgMar w:top="426" w:right="1440" w:bottom="9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CB5C2" w14:textId="77777777" w:rsidR="00381433" w:rsidRDefault="00381433" w:rsidP="00705573">
      <w:pPr>
        <w:spacing w:after="0" w:line="240" w:lineRule="auto"/>
      </w:pPr>
      <w:r>
        <w:separator/>
      </w:r>
    </w:p>
  </w:endnote>
  <w:endnote w:type="continuationSeparator" w:id="0">
    <w:p w14:paraId="61EA55DB" w14:textId="77777777" w:rsidR="00381433" w:rsidRDefault="00381433" w:rsidP="0070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020792"/>
      <w:docPartObj>
        <w:docPartGallery w:val="Page Numbers (Bottom of Page)"/>
        <w:docPartUnique/>
      </w:docPartObj>
    </w:sdtPr>
    <w:sdtEndPr>
      <w:rPr>
        <w:noProof/>
      </w:rPr>
    </w:sdtEndPr>
    <w:sdtContent>
      <w:p w14:paraId="67793FED" w14:textId="724E6026" w:rsidR="00E958BB" w:rsidRDefault="00E958BB">
        <w:pPr>
          <w:pStyle w:val="Footer"/>
          <w:jc w:val="right"/>
        </w:pPr>
        <w:r>
          <w:fldChar w:fldCharType="begin"/>
        </w:r>
        <w:r>
          <w:instrText xml:space="preserve"> PAGE   \* MERGEFORMAT </w:instrText>
        </w:r>
        <w:r>
          <w:fldChar w:fldCharType="separate"/>
        </w:r>
        <w:r w:rsidR="00390AC9">
          <w:rPr>
            <w:noProof/>
          </w:rPr>
          <w:t>3</w:t>
        </w:r>
        <w:r>
          <w:rPr>
            <w:noProof/>
          </w:rPr>
          <w:fldChar w:fldCharType="end"/>
        </w:r>
      </w:p>
    </w:sdtContent>
  </w:sdt>
  <w:p w14:paraId="31965DEF" w14:textId="77777777" w:rsidR="00572FC6" w:rsidRDefault="00572F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6A5E8" w14:textId="721D671A" w:rsidR="00390AC9" w:rsidRDefault="00390AC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14:paraId="07724C43" w14:textId="77777777" w:rsidR="00390AC9" w:rsidRDefault="00390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3C832" w14:textId="77777777" w:rsidR="00381433" w:rsidRDefault="00381433" w:rsidP="00705573">
      <w:pPr>
        <w:spacing w:after="0" w:line="240" w:lineRule="auto"/>
      </w:pPr>
      <w:r>
        <w:separator/>
      </w:r>
    </w:p>
  </w:footnote>
  <w:footnote w:type="continuationSeparator" w:id="0">
    <w:p w14:paraId="43C129B2" w14:textId="77777777" w:rsidR="00381433" w:rsidRDefault="00381433" w:rsidP="0070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B78"/>
    <w:multiLevelType w:val="hybridMultilevel"/>
    <w:tmpl w:val="CE7E47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C2EB6"/>
    <w:multiLevelType w:val="hybridMultilevel"/>
    <w:tmpl w:val="496E8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491D96"/>
    <w:multiLevelType w:val="hybridMultilevel"/>
    <w:tmpl w:val="5096F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DE12AD"/>
    <w:multiLevelType w:val="hybridMultilevel"/>
    <w:tmpl w:val="57C6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67498"/>
    <w:multiLevelType w:val="hybridMultilevel"/>
    <w:tmpl w:val="5764FC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0071B"/>
    <w:multiLevelType w:val="hybridMultilevel"/>
    <w:tmpl w:val="948C3C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DE6A07"/>
    <w:multiLevelType w:val="hybridMultilevel"/>
    <w:tmpl w:val="D494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01100B"/>
    <w:multiLevelType w:val="hybridMultilevel"/>
    <w:tmpl w:val="2820A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920E4C"/>
    <w:multiLevelType w:val="hybridMultilevel"/>
    <w:tmpl w:val="42A4E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5671755"/>
    <w:multiLevelType w:val="hybridMultilevel"/>
    <w:tmpl w:val="90D827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DA1A38"/>
    <w:multiLevelType w:val="hybridMultilevel"/>
    <w:tmpl w:val="1FF20B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A05F2D"/>
    <w:multiLevelType w:val="hybridMultilevel"/>
    <w:tmpl w:val="0592118C"/>
    <w:lvl w:ilvl="0" w:tplc="F25A16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530FE"/>
    <w:multiLevelType w:val="hybridMultilevel"/>
    <w:tmpl w:val="87BC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3662B7"/>
    <w:multiLevelType w:val="hybridMultilevel"/>
    <w:tmpl w:val="82904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A5CE1"/>
    <w:multiLevelType w:val="hybridMultilevel"/>
    <w:tmpl w:val="F104B89E"/>
    <w:lvl w:ilvl="0" w:tplc="1AC8C4C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93B5847"/>
    <w:multiLevelType w:val="hybridMultilevel"/>
    <w:tmpl w:val="E01C456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FA14B1E"/>
    <w:multiLevelType w:val="hybridMultilevel"/>
    <w:tmpl w:val="0310B7FE"/>
    <w:lvl w:ilvl="0" w:tplc="04090001">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57A09"/>
    <w:multiLevelType w:val="hybridMultilevel"/>
    <w:tmpl w:val="1EA297C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49EE6279"/>
    <w:multiLevelType w:val="hybridMultilevel"/>
    <w:tmpl w:val="D152F39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CE81418"/>
    <w:multiLevelType w:val="hybridMultilevel"/>
    <w:tmpl w:val="386A8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EA55512"/>
    <w:multiLevelType w:val="hybridMultilevel"/>
    <w:tmpl w:val="EBEA2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00F82"/>
    <w:multiLevelType w:val="hybridMultilevel"/>
    <w:tmpl w:val="31DAD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1780C58"/>
    <w:multiLevelType w:val="hybridMultilevel"/>
    <w:tmpl w:val="8B886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35682B"/>
    <w:multiLevelType w:val="hybridMultilevel"/>
    <w:tmpl w:val="CC0EB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7A4DD2"/>
    <w:multiLevelType w:val="hybridMultilevel"/>
    <w:tmpl w:val="79BED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30015D"/>
    <w:multiLevelType w:val="hybridMultilevel"/>
    <w:tmpl w:val="48C41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04B495C"/>
    <w:multiLevelType w:val="hybridMultilevel"/>
    <w:tmpl w:val="E3666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437005"/>
    <w:multiLevelType w:val="hybridMultilevel"/>
    <w:tmpl w:val="8FB0EF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18250BC"/>
    <w:multiLevelType w:val="hybridMultilevel"/>
    <w:tmpl w:val="002C110A"/>
    <w:lvl w:ilvl="0" w:tplc="0409000F">
      <w:start w:val="1"/>
      <w:numFmt w:val="decimal"/>
      <w:lvlText w:val="%1."/>
      <w:lvlJc w:val="left"/>
      <w:pPr>
        <w:ind w:left="1313" w:hanging="360"/>
      </w:pPr>
    </w:lvl>
    <w:lvl w:ilvl="1" w:tplc="04090019" w:tentative="1">
      <w:start w:val="1"/>
      <w:numFmt w:val="lowerLetter"/>
      <w:lvlText w:val="%2."/>
      <w:lvlJc w:val="left"/>
      <w:pPr>
        <w:ind w:left="2033" w:hanging="360"/>
      </w:pPr>
    </w:lvl>
    <w:lvl w:ilvl="2" w:tplc="0409001B" w:tentative="1">
      <w:start w:val="1"/>
      <w:numFmt w:val="lowerRoman"/>
      <w:lvlText w:val="%3."/>
      <w:lvlJc w:val="right"/>
      <w:pPr>
        <w:ind w:left="2753" w:hanging="180"/>
      </w:pPr>
    </w:lvl>
    <w:lvl w:ilvl="3" w:tplc="0409000F" w:tentative="1">
      <w:start w:val="1"/>
      <w:numFmt w:val="decimal"/>
      <w:lvlText w:val="%4."/>
      <w:lvlJc w:val="left"/>
      <w:pPr>
        <w:ind w:left="3473" w:hanging="360"/>
      </w:pPr>
    </w:lvl>
    <w:lvl w:ilvl="4" w:tplc="04090019" w:tentative="1">
      <w:start w:val="1"/>
      <w:numFmt w:val="lowerLetter"/>
      <w:lvlText w:val="%5."/>
      <w:lvlJc w:val="left"/>
      <w:pPr>
        <w:ind w:left="4193" w:hanging="360"/>
      </w:pPr>
    </w:lvl>
    <w:lvl w:ilvl="5" w:tplc="0409001B" w:tentative="1">
      <w:start w:val="1"/>
      <w:numFmt w:val="lowerRoman"/>
      <w:lvlText w:val="%6."/>
      <w:lvlJc w:val="right"/>
      <w:pPr>
        <w:ind w:left="4913" w:hanging="180"/>
      </w:pPr>
    </w:lvl>
    <w:lvl w:ilvl="6" w:tplc="0409000F" w:tentative="1">
      <w:start w:val="1"/>
      <w:numFmt w:val="decimal"/>
      <w:lvlText w:val="%7."/>
      <w:lvlJc w:val="left"/>
      <w:pPr>
        <w:ind w:left="5633" w:hanging="360"/>
      </w:pPr>
    </w:lvl>
    <w:lvl w:ilvl="7" w:tplc="04090019" w:tentative="1">
      <w:start w:val="1"/>
      <w:numFmt w:val="lowerLetter"/>
      <w:lvlText w:val="%8."/>
      <w:lvlJc w:val="left"/>
      <w:pPr>
        <w:ind w:left="6353" w:hanging="360"/>
      </w:pPr>
    </w:lvl>
    <w:lvl w:ilvl="8" w:tplc="0409001B" w:tentative="1">
      <w:start w:val="1"/>
      <w:numFmt w:val="lowerRoman"/>
      <w:lvlText w:val="%9."/>
      <w:lvlJc w:val="right"/>
      <w:pPr>
        <w:ind w:left="7073" w:hanging="180"/>
      </w:pPr>
    </w:lvl>
  </w:abstractNum>
  <w:abstractNum w:abstractNumId="29" w15:restartNumberingAfterBreak="0">
    <w:nsid w:val="72F97875"/>
    <w:multiLevelType w:val="hybridMultilevel"/>
    <w:tmpl w:val="E51AAF00"/>
    <w:lvl w:ilvl="0" w:tplc="1AC8C4C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FA3D1A"/>
    <w:multiLevelType w:val="hybridMultilevel"/>
    <w:tmpl w:val="C39E02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7652463"/>
    <w:multiLevelType w:val="hybridMultilevel"/>
    <w:tmpl w:val="26E8F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2625DA"/>
    <w:multiLevelType w:val="hybridMultilevel"/>
    <w:tmpl w:val="EE22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2C141D"/>
    <w:multiLevelType w:val="hybridMultilevel"/>
    <w:tmpl w:val="945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33C00"/>
    <w:multiLevelType w:val="hybridMultilevel"/>
    <w:tmpl w:val="F814A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BD87028"/>
    <w:multiLevelType w:val="hybridMultilevel"/>
    <w:tmpl w:val="2132F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7F1EEE"/>
    <w:multiLevelType w:val="hybridMultilevel"/>
    <w:tmpl w:val="788C0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425787"/>
    <w:multiLevelType w:val="hybridMultilevel"/>
    <w:tmpl w:val="8E90AD3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2"/>
  </w:num>
  <w:num w:numId="2">
    <w:abstractNumId w:val="30"/>
  </w:num>
  <w:num w:numId="3">
    <w:abstractNumId w:val="19"/>
  </w:num>
  <w:num w:numId="4">
    <w:abstractNumId w:val="34"/>
  </w:num>
  <w:num w:numId="5">
    <w:abstractNumId w:val="7"/>
  </w:num>
  <w:num w:numId="6">
    <w:abstractNumId w:val="24"/>
  </w:num>
  <w:num w:numId="7">
    <w:abstractNumId w:val="6"/>
  </w:num>
  <w:num w:numId="8">
    <w:abstractNumId w:val="21"/>
  </w:num>
  <w:num w:numId="9">
    <w:abstractNumId w:val="18"/>
  </w:num>
  <w:num w:numId="10">
    <w:abstractNumId w:val="14"/>
  </w:num>
  <w:num w:numId="11">
    <w:abstractNumId w:val="13"/>
  </w:num>
  <w:num w:numId="12">
    <w:abstractNumId w:val="0"/>
  </w:num>
  <w:num w:numId="13">
    <w:abstractNumId w:val="27"/>
  </w:num>
  <w:num w:numId="14">
    <w:abstractNumId w:val="2"/>
  </w:num>
  <w:num w:numId="15">
    <w:abstractNumId w:val="16"/>
  </w:num>
  <w:num w:numId="16">
    <w:abstractNumId w:val="10"/>
  </w:num>
  <w:num w:numId="17">
    <w:abstractNumId w:val="26"/>
  </w:num>
  <w:num w:numId="18">
    <w:abstractNumId w:val="4"/>
  </w:num>
  <w:num w:numId="19">
    <w:abstractNumId w:val="28"/>
  </w:num>
  <w:num w:numId="20">
    <w:abstractNumId w:val="36"/>
  </w:num>
  <w:num w:numId="21">
    <w:abstractNumId w:val="29"/>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
  </w:num>
  <w:num w:numId="25">
    <w:abstractNumId w:val="17"/>
  </w:num>
  <w:num w:numId="26">
    <w:abstractNumId w:val="15"/>
  </w:num>
  <w:num w:numId="27">
    <w:abstractNumId w:val="32"/>
  </w:num>
  <w:num w:numId="28">
    <w:abstractNumId w:val="37"/>
  </w:num>
  <w:num w:numId="29">
    <w:abstractNumId w:val="1"/>
  </w:num>
  <w:num w:numId="30">
    <w:abstractNumId w:val="11"/>
  </w:num>
  <w:num w:numId="31">
    <w:abstractNumId w:val="5"/>
  </w:num>
  <w:num w:numId="32">
    <w:abstractNumId w:val="8"/>
  </w:num>
  <w:num w:numId="33">
    <w:abstractNumId w:val="9"/>
  </w:num>
  <w:num w:numId="34">
    <w:abstractNumId w:val="35"/>
  </w:num>
  <w:num w:numId="35">
    <w:abstractNumId w:val="31"/>
  </w:num>
  <w:num w:numId="36">
    <w:abstractNumId w:val="23"/>
  </w:num>
  <w:num w:numId="37">
    <w:abstractNumId w:val="20"/>
  </w:num>
  <w:num w:numId="38">
    <w:abstractNumId w:val="1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proofState w:spelling="clean"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573"/>
    <w:rsid w:val="00003A37"/>
    <w:rsid w:val="00013097"/>
    <w:rsid w:val="0001610E"/>
    <w:rsid w:val="00017410"/>
    <w:rsid w:val="0001749E"/>
    <w:rsid w:val="00032C7F"/>
    <w:rsid w:val="000358B1"/>
    <w:rsid w:val="00035B01"/>
    <w:rsid w:val="00045774"/>
    <w:rsid w:val="00050F16"/>
    <w:rsid w:val="000562E5"/>
    <w:rsid w:val="00061FDF"/>
    <w:rsid w:val="000648E9"/>
    <w:rsid w:val="0006777A"/>
    <w:rsid w:val="000750F8"/>
    <w:rsid w:val="000752A0"/>
    <w:rsid w:val="00077E50"/>
    <w:rsid w:val="00085782"/>
    <w:rsid w:val="000917D1"/>
    <w:rsid w:val="000B71DE"/>
    <w:rsid w:val="000C444E"/>
    <w:rsid w:val="000D1C97"/>
    <w:rsid w:val="000E0338"/>
    <w:rsid w:val="00101EDE"/>
    <w:rsid w:val="00103885"/>
    <w:rsid w:val="00110074"/>
    <w:rsid w:val="00113741"/>
    <w:rsid w:val="00122D9F"/>
    <w:rsid w:val="00140805"/>
    <w:rsid w:val="00143868"/>
    <w:rsid w:val="00143B70"/>
    <w:rsid w:val="00162140"/>
    <w:rsid w:val="00165243"/>
    <w:rsid w:val="0016530B"/>
    <w:rsid w:val="00170C09"/>
    <w:rsid w:val="00171601"/>
    <w:rsid w:val="00180E65"/>
    <w:rsid w:val="00181187"/>
    <w:rsid w:val="001940C3"/>
    <w:rsid w:val="001A0851"/>
    <w:rsid w:val="001A09ED"/>
    <w:rsid w:val="001A1E57"/>
    <w:rsid w:val="001A4E25"/>
    <w:rsid w:val="001A7579"/>
    <w:rsid w:val="001B1116"/>
    <w:rsid w:val="001B3167"/>
    <w:rsid w:val="001B62AE"/>
    <w:rsid w:val="001B71F1"/>
    <w:rsid w:val="001C3138"/>
    <w:rsid w:val="001C3C69"/>
    <w:rsid w:val="001C6386"/>
    <w:rsid w:val="001D4B5D"/>
    <w:rsid w:val="001E676B"/>
    <w:rsid w:val="001E7961"/>
    <w:rsid w:val="001F043B"/>
    <w:rsid w:val="001F4130"/>
    <w:rsid w:val="0022475A"/>
    <w:rsid w:val="00225579"/>
    <w:rsid w:val="00234F4A"/>
    <w:rsid w:val="00236486"/>
    <w:rsid w:val="002372B1"/>
    <w:rsid w:val="002423F6"/>
    <w:rsid w:val="00243193"/>
    <w:rsid w:val="002449E8"/>
    <w:rsid w:val="00250DD3"/>
    <w:rsid w:val="002657B6"/>
    <w:rsid w:val="00271B87"/>
    <w:rsid w:val="00274E51"/>
    <w:rsid w:val="00275C50"/>
    <w:rsid w:val="0028333C"/>
    <w:rsid w:val="002836D7"/>
    <w:rsid w:val="0028447E"/>
    <w:rsid w:val="0028627C"/>
    <w:rsid w:val="0028670E"/>
    <w:rsid w:val="002A5332"/>
    <w:rsid w:val="002A5E3E"/>
    <w:rsid w:val="002B046F"/>
    <w:rsid w:val="002B2C24"/>
    <w:rsid w:val="002C3289"/>
    <w:rsid w:val="002C41D6"/>
    <w:rsid w:val="002D2744"/>
    <w:rsid w:val="002D3050"/>
    <w:rsid w:val="002D7472"/>
    <w:rsid w:val="002F27C0"/>
    <w:rsid w:val="002F6841"/>
    <w:rsid w:val="00302B96"/>
    <w:rsid w:val="00306F54"/>
    <w:rsid w:val="00312180"/>
    <w:rsid w:val="00315BE5"/>
    <w:rsid w:val="00322741"/>
    <w:rsid w:val="00332D30"/>
    <w:rsid w:val="00333E48"/>
    <w:rsid w:val="0034423D"/>
    <w:rsid w:val="00354248"/>
    <w:rsid w:val="00355ADB"/>
    <w:rsid w:val="0036433D"/>
    <w:rsid w:val="00364ECF"/>
    <w:rsid w:val="00367FE7"/>
    <w:rsid w:val="00381433"/>
    <w:rsid w:val="00381E20"/>
    <w:rsid w:val="003840D9"/>
    <w:rsid w:val="00390AC9"/>
    <w:rsid w:val="003930B0"/>
    <w:rsid w:val="0039546F"/>
    <w:rsid w:val="003A528F"/>
    <w:rsid w:val="003B0E78"/>
    <w:rsid w:val="003B2AB3"/>
    <w:rsid w:val="003B54D1"/>
    <w:rsid w:val="003C0532"/>
    <w:rsid w:val="003D201E"/>
    <w:rsid w:val="003E30D6"/>
    <w:rsid w:val="003E4AA7"/>
    <w:rsid w:val="003E6406"/>
    <w:rsid w:val="003F48BF"/>
    <w:rsid w:val="00404FC6"/>
    <w:rsid w:val="004131B0"/>
    <w:rsid w:val="00413518"/>
    <w:rsid w:val="004304F3"/>
    <w:rsid w:val="004338D7"/>
    <w:rsid w:val="004425B3"/>
    <w:rsid w:val="00450A25"/>
    <w:rsid w:val="00454521"/>
    <w:rsid w:val="0045534C"/>
    <w:rsid w:val="00456F33"/>
    <w:rsid w:val="0046591E"/>
    <w:rsid w:val="004713B7"/>
    <w:rsid w:val="004915E8"/>
    <w:rsid w:val="004947DB"/>
    <w:rsid w:val="004A156B"/>
    <w:rsid w:val="004C1B94"/>
    <w:rsid w:val="004D39DD"/>
    <w:rsid w:val="004D46B2"/>
    <w:rsid w:val="004D6838"/>
    <w:rsid w:val="004D683D"/>
    <w:rsid w:val="004E740B"/>
    <w:rsid w:val="004F18DA"/>
    <w:rsid w:val="004F50EC"/>
    <w:rsid w:val="004F57C3"/>
    <w:rsid w:val="004F605E"/>
    <w:rsid w:val="004F60FF"/>
    <w:rsid w:val="004F7546"/>
    <w:rsid w:val="00505B34"/>
    <w:rsid w:val="0051685C"/>
    <w:rsid w:val="0052326E"/>
    <w:rsid w:val="0056262D"/>
    <w:rsid w:val="005630B6"/>
    <w:rsid w:val="00567C01"/>
    <w:rsid w:val="00572FC6"/>
    <w:rsid w:val="005843D2"/>
    <w:rsid w:val="00586FBD"/>
    <w:rsid w:val="00591535"/>
    <w:rsid w:val="005A2088"/>
    <w:rsid w:val="005B0AA1"/>
    <w:rsid w:val="005C3CB5"/>
    <w:rsid w:val="005C47F1"/>
    <w:rsid w:val="005E1CFC"/>
    <w:rsid w:val="005E4990"/>
    <w:rsid w:val="005E6061"/>
    <w:rsid w:val="006008D4"/>
    <w:rsid w:val="0061026F"/>
    <w:rsid w:val="00614F40"/>
    <w:rsid w:val="00625504"/>
    <w:rsid w:val="00632529"/>
    <w:rsid w:val="00635DE5"/>
    <w:rsid w:val="00640ADD"/>
    <w:rsid w:val="0064745F"/>
    <w:rsid w:val="006551B2"/>
    <w:rsid w:val="00662BA2"/>
    <w:rsid w:val="00663DC2"/>
    <w:rsid w:val="00665F94"/>
    <w:rsid w:val="00667561"/>
    <w:rsid w:val="00675BB8"/>
    <w:rsid w:val="00676787"/>
    <w:rsid w:val="006855A1"/>
    <w:rsid w:val="006A1697"/>
    <w:rsid w:val="006A2C85"/>
    <w:rsid w:val="006A598A"/>
    <w:rsid w:val="006B048A"/>
    <w:rsid w:val="006B661B"/>
    <w:rsid w:val="006C12F7"/>
    <w:rsid w:val="006E24B3"/>
    <w:rsid w:val="006E37DB"/>
    <w:rsid w:val="00700D94"/>
    <w:rsid w:val="00705573"/>
    <w:rsid w:val="007056B4"/>
    <w:rsid w:val="0070722C"/>
    <w:rsid w:val="007073EC"/>
    <w:rsid w:val="0071440F"/>
    <w:rsid w:val="00720009"/>
    <w:rsid w:val="007219CC"/>
    <w:rsid w:val="00730CE8"/>
    <w:rsid w:val="007351C6"/>
    <w:rsid w:val="00742134"/>
    <w:rsid w:val="007543AA"/>
    <w:rsid w:val="00756459"/>
    <w:rsid w:val="00765AB6"/>
    <w:rsid w:val="00770444"/>
    <w:rsid w:val="007722D9"/>
    <w:rsid w:val="00777CC9"/>
    <w:rsid w:val="00782F29"/>
    <w:rsid w:val="00787C3B"/>
    <w:rsid w:val="0079128F"/>
    <w:rsid w:val="007A06D6"/>
    <w:rsid w:val="007A43D0"/>
    <w:rsid w:val="007A5915"/>
    <w:rsid w:val="007A5F67"/>
    <w:rsid w:val="007C4C29"/>
    <w:rsid w:val="007C5DCC"/>
    <w:rsid w:val="007C6DA8"/>
    <w:rsid w:val="007D447A"/>
    <w:rsid w:val="007E618E"/>
    <w:rsid w:val="007F2F64"/>
    <w:rsid w:val="008003FC"/>
    <w:rsid w:val="008026B9"/>
    <w:rsid w:val="00817FC0"/>
    <w:rsid w:val="00835FD6"/>
    <w:rsid w:val="008421B5"/>
    <w:rsid w:val="0085119C"/>
    <w:rsid w:val="0086087A"/>
    <w:rsid w:val="0086194D"/>
    <w:rsid w:val="00866539"/>
    <w:rsid w:val="00870C59"/>
    <w:rsid w:val="00871D39"/>
    <w:rsid w:val="00872D57"/>
    <w:rsid w:val="00873C03"/>
    <w:rsid w:val="00886FA6"/>
    <w:rsid w:val="008963BA"/>
    <w:rsid w:val="008A0FFB"/>
    <w:rsid w:val="008A18CA"/>
    <w:rsid w:val="008A2244"/>
    <w:rsid w:val="008A24AA"/>
    <w:rsid w:val="008A3EBF"/>
    <w:rsid w:val="008A660B"/>
    <w:rsid w:val="008B0F39"/>
    <w:rsid w:val="008B27C7"/>
    <w:rsid w:val="008B31C3"/>
    <w:rsid w:val="008B4548"/>
    <w:rsid w:val="008C16B0"/>
    <w:rsid w:val="008C184F"/>
    <w:rsid w:val="008C21A3"/>
    <w:rsid w:val="008C6E72"/>
    <w:rsid w:val="008D032E"/>
    <w:rsid w:val="008D3385"/>
    <w:rsid w:val="008F0DC4"/>
    <w:rsid w:val="008F32BE"/>
    <w:rsid w:val="00902447"/>
    <w:rsid w:val="009052DA"/>
    <w:rsid w:val="00905614"/>
    <w:rsid w:val="00907BE0"/>
    <w:rsid w:val="009108A6"/>
    <w:rsid w:val="009162BB"/>
    <w:rsid w:val="009172E4"/>
    <w:rsid w:val="00924B09"/>
    <w:rsid w:val="0092694D"/>
    <w:rsid w:val="009354DF"/>
    <w:rsid w:val="00955912"/>
    <w:rsid w:val="00955B51"/>
    <w:rsid w:val="00957078"/>
    <w:rsid w:val="009624D5"/>
    <w:rsid w:val="00967D11"/>
    <w:rsid w:val="00984A3A"/>
    <w:rsid w:val="00992F5E"/>
    <w:rsid w:val="009A2C24"/>
    <w:rsid w:val="009B0054"/>
    <w:rsid w:val="009B36EF"/>
    <w:rsid w:val="009B376F"/>
    <w:rsid w:val="009B59DC"/>
    <w:rsid w:val="009C2479"/>
    <w:rsid w:val="009D37C7"/>
    <w:rsid w:val="009D517E"/>
    <w:rsid w:val="009D521F"/>
    <w:rsid w:val="009E5551"/>
    <w:rsid w:val="009F51AD"/>
    <w:rsid w:val="00A0776D"/>
    <w:rsid w:val="00A1117D"/>
    <w:rsid w:val="00A228EC"/>
    <w:rsid w:val="00A34846"/>
    <w:rsid w:val="00A36854"/>
    <w:rsid w:val="00A37378"/>
    <w:rsid w:val="00A47703"/>
    <w:rsid w:val="00A522A0"/>
    <w:rsid w:val="00A610CB"/>
    <w:rsid w:val="00A6680E"/>
    <w:rsid w:val="00A67C18"/>
    <w:rsid w:val="00A70167"/>
    <w:rsid w:val="00A718DC"/>
    <w:rsid w:val="00A77D98"/>
    <w:rsid w:val="00A83301"/>
    <w:rsid w:val="00A9106F"/>
    <w:rsid w:val="00AB0540"/>
    <w:rsid w:val="00AB0623"/>
    <w:rsid w:val="00AB2DFE"/>
    <w:rsid w:val="00AC4DD6"/>
    <w:rsid w:val="00AD10E5"/>
    <w:rsid w:val="00AD46E4"/>
    <w:rsid w:val="00AD521D"/>
    <w:rsid w:val="00AE0A1B"/>
    <w:rsid w:val="00AE1AFD"/>
    <w:rsid w:val="00AE3B5D"/>
    <w:rsid w:val="00AE7316"/>
    <w:rsid w:val="00AF295B"/>
    <w:rsid w:val="00AF647D"/>
    <w:rsid w:val="00AF6663"/>
    <w:rsid w:val="00AF71DD"/>
    <w:rsid w:val="00B00336"/>
    <w:rsid w:val="00B00FF9"/>
    <w:rsid w:val="00B03E35"/>
    <w:rsid w:val="00B0704F"/>
    <w:rsid w:val="00B11DB3"/>
    <w:rsid w:val="00B1420C"/>
    <w:rsid w:val="00B2028B"/>
    <w:rsid w:val="00B23E7C"/>
    <w:rsid w:val="00B2684B"/>
    <w:rsid w:val="00B32C98"/>
    <w:rsid w:val="00B36CBE"/>
    <w:rsid w:val="00B501C1"/>
    <w:rsid w:val="00B5121A"/>
    <w:rsid w:val="00B514E4"/>
    <w:rsid w:val="00B6115E"/>
    <w:rsid w:val="00B6243E"/>
    <w:rsid w:val="00B63E19"/>
    <w:rsid w:val="00B64DCD"/>
    <w:rsid w:val="00B70470"/>
    <w:rsid w:val="00B71056"/>
    <w:rsid w:val="00B82563"/>
    <w:rsid w:val="00B84D5E"/>
    <w:rsid w:val="00B91384"/>
    <w:rsid w:val="00BB191D"/>
    <w:rsid w:val="00BB7D06"/>
    <w:rsid w:val="00BC1A06"/>
    <w:rsid w:val="00BD0F50"/>
    <w:rsid w:val="00BD1F8F"/>
    <w:rsid w:val="00BE2EC1"/>
    <w:rsid w:val="00BE7E58"/>
    <w:rsid w:val="00BF191E"/>
    <w:rsid w:val="00BF36CB"/>
    <w:rsid w:val="00BF59A3"/>
    <w:rsid w:val="00C00C08"/>
    <w:rsid w:val="00C04736"/>
    <w:rsid w:val="00C06534"/>
    <w:rsid w:val="00C25DEE"/>
    <w:rsid w:val="00C31EDF"/>
    <w:rsid w:val="00C34A54"/>
    <w:rsid w:val="00C35E15"/>
    <w:rsid w:val="00C370E3"/>
    <w:rsid w:val="00C40213"/>
    <w:rsid w:val="00C4407B"/>
    <w:rsid w:val="00C512BF"/>
    <w:rsid w:val="00C51CBD"/>
    <w:rsid w:val="00C536FC"/>
    <w:rsid w:val="00C543A3"/>
    <w:rsid w:val="00C738E6"/>
    <w:rsid w:val="00C86B1B"/>
    <w:rsid w:val="00C92319"/>
    <w:rsid w:val="00C95772"/>
    <w:rsid w:val="00CB0CDA"/>
    <w:rsid w:val="00CB5130"/>
    <w:rsid w:val="00CB7D01"/>
    <w:rsid w:val="00CC07DF"/>
    <w:rsid w:val="00CC254F"/>
    <w:rsid w:val="00CE4E85"/>
    <w:rsid w:val="00CF0078"/>
    <w:rsid w:val="00CF4485"/>
    <w:rsid w:val="00CF66A7"/>
    <w:rsid w:val="00D0097A"/>
    <w:rsid w:val="00D126E1"/>
    <w:rsid w:val="00D24499"/>
    <w:rsid w:val="00D364D7"/>
    <w:rsid w:val="00D405CE"/>
    <w:rsid w:val="00D47AB2"/>
    <w:rsid w:val="00D57762"/>
    <w:rsid w:val="00D6162C"/>
    <w:rsid w:val="00D62F54"/>
    <w:rsid w:val="00D632BD"/>
    <w:rsid w:val="00D63605"/>
    <w:rsid w:val="00D9087C"/>
    <w:rsid w:val="00D9319A"/>
    <w:rsid w:val="00DA67E2"/>
    <w:rsid w:val="00DB5CDD"/>
    <w:rsid w:val="00DB7DD6"/>
    <w:rsid w:val="00DC2395"/>
    <w:rsid w:val="00DC4A4F"/>
    <w:rsid w:val="00DD157F"/>
    <w:rsid w:val="00DE0E65"/>
    <w:rsid w:val="00DE2235"/>
    <w:rsid w:val="00DE6F33"/>
    <w:rsid w:val="00DF072F"/>
    <w:rsid w:val="00DF1DED"/>
    <w:rsid w:val="00DF36AE"/>
    <w:rsid w:val="00DF63B7"/>
    <w:rsid w:val="00E0163D"/>
    <w:rsid w:val="00E03B97"/>
    <w:rsid w:val="00E12E71"/>
    <w:rsid w:val="00E16224"/>
    <w:rsid w:val="00E30E51"/>
    <w:rsid w:val="00E33BB7"/>
    <w:rsid w:val="00E40308"/>
    <w:rsid w:val="00E409E6"/>
    <w:rsid w:val="00E53D91"/>
    <w:rsid w:val="00E570FD"/>
    <w:rsid w:val="00E60977"/>
    <w:rsid w:val="00E62358"/>
    <w:rsid w:val="00E64FB3"/>
    <w:rsid w:val="00E666AE"/>
    <w:rsid w:val="00E66CC8"/>
    <w:rsid w:val="00E702D9"/>
    <w:rsid w:val="00E92656"/>
    <w:rsid w:val="00E958BB"/>
    <w:rsid w:val="00E95FB2"/>
    <w:rsid w:val="00E96E6A"/>
    <w:rsid w:val="00E9700F"/>
    <w:rsid w:val="00E97A04"/>
    <w:rsid w:val="00EA4F3C"/>
    <w:rsid w:val="00EA7D4D"/>
    <w:rsid w:val="00EB5DD6"/>
    <w:rsid w:val="00EC42FA"/>
    <w:rsid w:val="00EC4514"/>
    <w:rsid w:val="00EC7CA1"/>
    <w:rsid w:val="00ED068E"/>
    <w:rsid w:val="00EE6E9D"/>
    <w:rsid w:val="00EF5C3F"/>
    <w:rsid w:val="00F101D7"/>
    <w:rsid w:val="00F1585A"/>
    <w:rsid w:val="00F26803"/>
    <w:rsid w:val="00F30624"/>
    <w:rsid w:val="00F44287"/>
    <w:rsid w:val="00F45DF9"/>
    <w:rsid w:val="00F471DA"/>
    <w:rsid w:val="00F473E3"/>
    <w:rsid w:val="00F51518"/>
    <w:rsid w:val="00F60FA1"/>
    <w:rsid w:val="00F62F69"/>
    <w:rsid w:val="00F6596D"/>
    <w:rsid w:val="00F71C77"/>
    <w:rsid w:val="00F747B6"/>
    <w:rsid w:val="00F8437D"/>
    <w:rsid w:val="00F86582"/>
    <w:rsid w:val="00F907C6"/>
    <w:rsid w:val="00F920BE"/>
    <w:rsid w:val="00F96F60"/>
    <w:rsid w:val="00FA2F77"/>
    <w:rsid w:val="00FA451F"/>
    <w:rsid w:val="00FA5434"/>
    <w:rsid w:val="00FA7B83"/>
    <w:rsid w:val="00FB739A"/>
    <w:rsid w:val="00FC1156"/>
    <w:rsid w:val="00FC308C"/>
    <w:rsid w:val="00FC7E43"/>
    <w:rsid w:val="00FD0B82"/>
    <w:rsid w:val="00FD2210"/>
    <w:rsid w:val="00FD4A16"/>
    <w:rsid w:val="00FE0120"/>
    <w:rsid w:val="00FF1B88"/>
    <w:rsid w:val="00FF35BB"/>
    <w:rsid w:val="00FF42D1"/>
    <w:rsid w:val="00FF6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A7486"/>
  <w15:docId w15:val="{92D40B9A-B1E5-4171-A05D-4A079747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8A"/>
  </w:style>
  <w:style w:type="paragraph" w:styleId="Heading1">
    <w:name w:val="heading 1"/>
    <w:basedOn w:val="Normal"/>
    <w:next w:val="Normal"/>
    <w:link w:val="Heading1Char"/>
    <w:uiPriority w:val="9"/>
    <w:qFormat/>
    <w:rsid w:val="00CE4E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E4E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5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5573"/>
    <w:rPr>
      <w:rFonts w:ascii="Segoe UI" w:hAnsi="Segoe UI" w:cs="Segoe UI"/>
      <w:sz w:val="18"/>
      <w:szCs w:val="18"/>
    </w:rPr>
  </w:style>
  <w:style w:type="table" w:styleId="TableGrid">
    <w:name w:val="Table Grid"/>
    <w:basedOn w:val="TableNormal"/>
    <w:uiPriority w:val="39"/>
    <w:rsid w:val="00705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05573"/>
    <w:pPr>
      <w:spacing w:after="200" w:line="276" w:lineRule="auto"/>
      <w:ind w:left="720"/>
      <w:contextualSpacing/>
    </w:pPr>
  </w:style>
  <w:style w:type="character" w:styleId="FootnoteReference">
    <w:name w:val="footnote reference"/>
    <w:basedOn w:val="DefaultParagraphFont"/>
    <w:uiPriority w:val="99"/>
    <w:unhideWhenUsed/>
    <w:rsid w:val="00705573"/>
    <w:rPr>
      <w:vertAlign w:val="superscript"/>
    </w:rPr>
  </w:style>
  <w:style w:type="paragraph" w:styleId="CommentText">
    <w:name w:val="annotation text"/>
    <w:basedOn w:val="Normal"/>
    <w:link w:val="CommentTextChar"/>
    <w:uiPriority w:val="99"/>
    <w:unhideWhenUsed/>
    <w:rsid w:val="00CC254F"/>
    <w:pPr>
      <w:spacing w:after="200" w:line="240" w:lineRule="auto"/>
    </w:pPr>
    <w:rPr>
      <w:sz w:val="20"/>
      <w:szCs w:val="20"/>
    </w:rPr>
  </w:style>
  <w:style w:type="character" w:customStyle="1" w:styleId="CommentTextChar">
    <w:name w:val="Comment Text Char"/>
    <w:basedOn w:val="DefaultParagraphFont"/>
    <w:link w:val="CommentText"/>
    <w:uiPriority w:val="99"/>
    <w:rsid w:val="00CC254F"/>
    <w:rPr>
      <w:sz w:val="20"/>
      <w:szCs w:val="20"/>
    </w:rPr>
  </w:style>
  <w:style w:type="paragraph" w:styleId="FootnoteText">
    <w:name w:val="footnote text"/>
    <w:aliases w:val="single space,footnote text,FOOTNOTES,fn,Footnote Text Char1,Footnote Text Char2 Char,Footnote Text Char1 Char Char,Footnote Text Char2 Char Char Char,Footnote Text Char1 Char Char Char Char,Footnote Text Char2 Char Char Char Char Char,ADB"/>
    <w:basedOn w:val="Normal"/>
    <w:link w:val="FootnoteTextChar"/>
    <w:uiPriority w:val="99"/>
    <w:unhideWhenUsed/>
    <w:rsid w:val="00CC254F"/>
    <w:pPr>
      <w:spacing w:after="0" w:line="240" w:lineRule="auto"/>
    </w:pPr>
    <w:rPr>
      <w:sz w:val="20"/>
      <w:szCs w:val="20"/>
    </w:rPr>
  </w:style>
  <w:style w:type="character" w:customStyle="1" w:styleId="FootnoteTextChar">
    <w:name w:val="Footnote Text Char"/>
    <w:aliases w:val="single space Char,footnote text Char,FOOTNOTES Char,fn Char,Footnote Text Char1 Char,Footnote Text Char2 Char Char,Footnote Text Char1 Char Char Char,Footnote Text Char2 Char Char Char Char,Footnote Text Char1 Char Char Char Char Char"/>
    <w:basedOn w:val="DefaultParagraphFont"/>
    <w:link w:val="FootnoteText"/>
    <w:uiPriority w:val="99"/>
    <w:rsid w:val="00CC254F"/>
    <w:rPr>
      <w:sz w:val="20"/>
      <w:szCs w:val="20"/>
    </w:rPr>
  </w:style>
  <w:style w:type="paragraph" w:styleId="Header">
    <w:name w:val="header"/>
    <w:basedOn w:val="Normal"/>
    <w:link w:val="HeaderChar"/>
    <w:uiPriority w:val="99"/>
    <w:unhideWhenUsed/>
    <w:rsid w:val="002D27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744"/>
  </w:style>
  <w:style w:type="paragraph" w:styleId="Footer">
    <w:name w:val="footer"/>
    <w:basedOn w:val="Normal"/>
    <w:link w:val="FooterChar"/>
    <w:uiPriority w:val="99"/>
    <w:unhideWhenUsed/>
    <w:rsid w:val="002D27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744"/>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70722C"/>
  </w:style>
  <w:style w:type="character" w:styleId="CommentReference">
    <w:name w:val="annotation reference"/>
    <w:basedOn w:val="DefaultParagraphFont"/>
    <w:uiPriority w:val="99"/>
    <w:unhideWhenUsed/>
    <w:rsid w:val="00AD46E4"/>
    <w:rPr>
      <w:sz w:val="16"/>
      <w:szCs w:val="16"/>
    </w:rPr>
  </w:style>
  <w:style w:type="paragraph" w:styleId="CommentSubject">
    <w:name w:val="annotation subject"/>
    <w:basedOn w:val="CommentText"/>
    <w:next w:val="CommentText"/>
    <w:link w:val="CommentSubjectChar"/>
    <w:uiPriority w:val="99"/>
    <w:semiHidden/>
    <w:unhideWhenUsed/>
    <w:rsid w:val="00AD46E4"/>
    <w:pPr>
      <w:spacing w:after="160"/>
    </w:pPr>
    <w:rPr>
      <w:b/>
      <w:bCs/>
    </w:rPr>
  </w:style>
  <w:style w:type="character" w:customStyle="1" w:styleId="CommentSubjectChar">
    <w:name w:val="Comment Subject Char"/>
    <w:basedOn w:val="CommentTextChar"/>
    <w:link w:val="CommentSubject"/>
    <w:uiPriority w:val="99"/>
    <w:semiHidden/>
    <w:rsid w:val="00AD46E4"/>
    <w:rPr>
      <w:b/>
      <w:bCs/>
      <w:sz w:val="20"/>
      <w:szCs w:val="20"/>
    </w:rPr>
  </w:style>
  <w:style w:type="table" w:styleId="LightShading-Accent1">
    <w:name w:val="Light Shading Accent 1"/>
    <w:basedOn w:val="TableNormal"/>
    <w:uiPriority w:val="60"/>
    <w:rsid w:val="00364EC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ing2Char">
    <w:name w:val="Heading 2 Char"/>
    <w:basedOn w:val="DefaultParagraphFont"/>
    <w:link w:val="Heading2"/>
    <w:uiPriority w:val="9"/>
    <w:rsid w:val="00CE4E8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E4E85"/>
    <w:rPr>
      <w:rFonts w:asciiTheme="majorHAnsi" w:eastAsiaTheme="majorEastAsia" w:hAnsiTheme="majorHAnsi" w:cstheme="majorBidi"/>
      <w:color w:val="2E74B5" w:themeColor="accent1" w:themeShade="BF"/>
      <w:sz w:val="32"/>
      <w:szCs w:val="32"/>
    </w:rPr>
  </w:style>
  <w:style w:type="paragraph" w:styleId="PlainText">
    <w:name w:val="Plain Text"/>
    <w:basedOn w:val="Normal"/>
    <w:link w:val="PlainTextChar"/>
    <w:uiPriority w:val="99"/>
    <w:unhideWhenUsed/>
    <w:rsid w:val="00782F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82F29"/>
    <w:rPr>
      <w:rFonts w:ascii="Calibri" w:hAnsi="Calibri"/>
      <w:szCs w:val="21"/>
    </w:rPr>
  </w:style>
  <w:style w:type="paragraph" w:styleId="NoSpacing">
    <w:name w:val="No Spacing"/>
    <w:uiPriority w:val="1"/>
    <w:qFormat/>
    <w:rsid w:val="00B23E7C"/>
    <w:pPr>
      <w:spacing w:after="0" w:line="240" w:lineRule="auto"/>
    </w:pPr>
  </w:style>
  <w:style w:type="character" w:styleId="Hyperlink">
    <w:name w:val="Hyperlink"/>
    <w:basedOn w:val="DefaultParagraphFont"/>
    <w:uiPriority w:val="99"/>
    <w:unhideWhenUsed/>
    <w:rsid w:val="00665F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31059">
      <w:bodyDiv w:val="1"/>
      <w:marLeft w:val="0"/>
      <w:marRight w:val="0"/>
      <w:marTop w:val="0"/>
      <w:marBottom w:val="0"/>
      <w:divBdr>
        <w:top w:val="none" w:sz="0" w:space="0" w:color="auto"/>
        <w:left w:val="none" w:sz="0" w:space="0" w:color="auto"/>
        <w:bottom w:val="none" w:sz="0" w:space="0" w:color="auto"/>
        <w:right w:val="none" w:sz="0" w:space="0" w:color="auto"/>
      </w:divBdr>
    </w:div>
    <w:div w:id="251669737">
      <w:bodyDiv w:val="1"/>
      <w:marLeft w:val="0"/>
      <w:marRight w:val="0"/>
      <w:marTop w:val="0"/>
      <w:marBottom w:val="0"/>
      <w:divBdr>
        <w:top w:val="none" w:sz="0" w:space="0" w:color="auto"/>
        <w:left w:val="none" w:sz="0" w:space="0" w:color="auto"/>
        <w:bottom w:val="none" w:sz="0" w:space="0" w:color="auto"/>
        <w:right w:val="none" w:sz="0" w:space="0" w:color="auto"/>
      </w:divBdr>
    </w:div>
    <w:div w:id="322243372">
      <w:bodyDiv w:val="1"/>
      <w:marLeft w:val="0"/>
      <w:marRight w:val="0"/>
      <w:marTop w:val="0"/>
      <w:marBottom w:val="0"/>
      <w:divBdr>
        <w:top w:val="none" w:sz="0" w:space="0" w:color="auto"/>
        <w:left w:val="none" w:sz="0" w:space="0" w:color="auto"/>
        <w:bottom w:val="none" w:sz="0" w:space="0" w:color="auto"/>
        <w:right w:val="none" w:sz="0" w:space="0" w:color="auto"/>
      </w:divBdr>
    </w:div>
    <w:div w:id="698896069">
      <w:bodyDiv w:val="1"/>
      <w:marLeft w:val="0"/>
      <w:marRight w:val="0"/>
      <w:marTop w:val="0"/>
      <w:marBottom w:val="0"/>
      <w:divBdr>
        <w:top w:val="none" w:sz="0" w:space="0" w:color="auto"/>
        <w:left w:val="none" w:sz="0" w:space="0" w:color="auto"/>
        <w:bottom w:val="none" w:sz="0" w:space="0" w:color="auto"/>
        <w:right w:val="none" w:sz="0" w:space="0" w:color="auto"/>
      </w:divBdr>
    </w:div>
    <w:div w:id="884828452">
      <w:bodyDiv w:val="1"/>
      <w:marLeft w:val="0"/>
      <w:marRight w:val="0"/>
      <w:marTop w:val="0"/>
      <w:marBottom w:val="0"/>
      <w:divBdr>
        <w:top w:val="none" w:sz="0" w:space="0" w:color="auto"/>
        <w:left w:val="none" w:sz="0" w:space="0" w:color="auto"/>
        <w:bottom w:val="none" w:sz="0" w:space="0" w:color="auto"/>
        <w:right w:val="none" w:sz="0" w:space="0" w:color="auto"/>
      </w:divBdr>
    </w:div>
    <w:div w:id="936133008">
      <w:bodyDiv w:val="1"/>
      <w:marLeft w:val="0"/>
      <w:marRight w:val="0"/>
      <w:marTop w:val="0"/>
      <w:marBottom w:val="0"/>
      <w:divBdr>
        <w:top w:val="none" w:sz="0" w:space="0" w:color="auto"/>
        <w:left w:val="none" w:sz="0" w:space="0" w:color="auto"/>
        <w:bottom w:val="none" w:sz="0" w:space="0" w:color="auto"/>
        <w:right w:val="none" w:sz="0" w:space="0" w:color="auto"/>
      </w:divBdr>
    </w:div>
    <w:div w:id="1105148169">
      <w:bodyDiv w:val="1"/>
      <w:marLeft w:val="0"/>
      <w:marRight w:val="0"/>
      <w:marTop w:val="0"/>
      <w:marBottom w:val="0"/>
      <w:divBdr>
        <w:top w:val="none" w:sz="0" w:space="0" w:color="auto"/>
        <w:left w:val="none" w:sz="0" w:space="0" w:color="auto"/>
        <w:bottom w:val="none" w:sz="0" w:space="0" w:color="auto"/>
        <w:right w:val="none" w:sz="0" w:space="0" w:color="auto"/>
      </w:divBdr>
    </w:div>
    <w:div w:id="1129513223">
      <w:bodyDiv w:val="1"/>
      <w:marLeft w:val="0"/>
      <w:marRight w:val="0"/>
      <w:marTop w:val="0"/>
      <w:marBottom w:val="0"/>
      <w:divBdr>
        <w:top w:val="none" w:sz="0" w:space="0" w:color="auto"/>
        <w:left w:val="none" w:sz="0" w:space="0" w:color="auto"/>
        <w:bottom w:val="none" w:sz="0" w:space="0" w:color="auto"/>
        <w:right w:val="none" w:sz="0" w:space="0" w:color="auto"/>
      </w:divBdr>
    </w:div>
    <w:div w:id="1136335251">
      <w:bodyDiv w:val="1"/>
      <w:marLeft w:val="0"/>
      <w:marRight w:val="0"/>
      <w:marTop w:val="0"/>
      <w:marBottom w:val="0"/>
      <w:divBdr>
        <w:top w:val="none" w:sz="0" w:space="0" w:color="auto"/>
        <w:left w:val="none" w:sz="0" w:space="0" w:color="auto"/>
        <w:bottom w:val="none" w:sz="0" w:space="0" w:color="auto"/>
        <w:right w:val="none" w:sz="0" w:space="0" w:color="auto"/>
      </w:divBdr>
    </w:div>
    <w:div w:id="1233348918">
      <w:bodyDiv w:val="1"/>
      <w:marLeft w:val="0"/>
      <w:marRight w:val="0"/>
      <w:marTop w:val="0"/>
      <w:marBottom w:val="0"/>
      <w:divBdr>
        <w:top w:val="none" w:sz="0" w:space="0" w:color="auto"/>
        <w:left w:val="none" w:sz="0" w:space="0" w:color="auto"/>
        <w:bottom w:val="none" w:sz="0" w:space="0" w:color="auto"/>
        <w:right w:val="none" w:sz="0" w:space="0" w:color="auto"/>
      </w:divBdr>
    </w:div>
    <w:div w:id="1264344049">
      <w:bodyDiv w:val="1"/>
      <w:marLeft w:val="0"/>
      <w:marRight w:val="0"/>
      <w:marTop w:val="0"/>
      <w:marBottom w:val="0"/>
      <w:divBdr>
        <w:top w:val="none" w:sz="0" w:space="0" w:color="auto"/>
        <w:left w:val="none" w:sz="0" w:space="0" w:color="auto"/>
        <w:bottom w:val="none" w:sz="0" w:space="0" w:color="auto"/>
        <w:right w:val="none" w:sz="0" w:space="0" w:color="auto"/>
      </w:divBdr>
    </w:div>
    <w:div w:id="1423987046">
      <w:bodyDiv w:val="1"/>
      <w:marLeft w:val="0"/>
      <w:marRight w:val="0"/>
      <w:marTop w:val="0"/>
      <w:marBottom w:val="0"/>
      <w:divBdr>
        <w:top w:val="none" w:sz="0" w:space="0" w:color="auto"/>
        <w:left w:val="none" w:sz="0" w:space="0" w:color="auto"/>
        <w:bottom w:val="none" w:sz="0" w:space="0" w:color="auto"/>
        <w:right w:val="none" w:sz="0" w:space="0" w:color="auto"/>
      </w:divBdr>
    </w:div>
    <w:div w:id="1439984777">
      <w:bodyDiv w:val="1"/>
      <w:marLeft w:val="0"/>
      <w:marRight w:val="0"/>
      <w:marTop w:val="0"/>
      <w:marBottom w:val="0"/>
      <w:divBdr>
        <w:top w:val="none" w:sz="0" w:space="0" w:color="auto"/>
        <w:left w:val="none" w:sz="0" w:space="0" w:color="auto"/>
        <w:bottom w:val="none" w:sz="0" w:space="0" w:color="auto"/>
        <w:right w:val="none" w:sz="0" w:space="0" w:color="auto"/>
      </w:divBdr>
    </w:div>
    <w:div w:id="1510868494">
      <w:bodyDiv w:val="1"/>
      <w:marLeft w:val="0"/>
      <w:marRight w:val="0"/>
      <w:marTop w:val="0"/>
      <w:marBottom w:val="0"/>
      <w:divBdr>
        <w:top w:val="none" w:sz="0" w:space="0" w:color="auto"/>
        <w:left w:val="none" w:sz="0" w:space="0" w:color="auto"/>
        <w:bottom w:val="none" w:sz="0" w:space="0" w:color="auto"/>
        <w:right w:val="none" w:sz="0" w:space="0" w:color="auto"/>
      </w:divBdr>
    </w:div>
    <w:div w:id="1699239303">
      <w:bodyDiv w:val="1"/>
      <w:marLeft w:val="0"/>
      <w:marRight w:val="0"/>
      <w:marTop w:val="0"/>
      <w:marBottom w:val="0"/>
      <w:divBdr>
        <w:top w:val="none" w:sz="0" w:space="0" w:color="auto"/>
        <w:left w:val="none" w:sz="0" w:space="0" w:color="auto"/>
        <w:bottom w:val="none" w:sz="0" w:space="0" w:color="auto"/>
        <w:right w:val="none" w:sz="0" w:space="0" w:color="auto"/>
      </w:divBdr>
    </w:div>
    <w:div w:id="1726829471">
      <w:bodyDiv w:val="1"/>
      <w:marLeft w:val="0"/>
      <w:marRight w:val="0"/>
      <w:marTop w:val="0"/>
      <w:marBottom w:val="0"/>
      <w:divBdr>
        <w:top w:val="none" w:sz="0" w:space="0" w:color="auto"/>
        <w:left w:val="none" w:sz="0" w:space="0" w:color="auto"/>
        <w:bottom w:val="none" w:sz="0" w:space="0" w:color="auto"/>
        <w:right w:val="none" w:sz="0" w:space="0" w:color="auto"/>
      </w:divBdr>
    </w:div>
    <w:div w:id="1799687510">
      <w:bodyDiv w:val="1"/>
      <w:marLeft w:val="0"/>
      <w:marRight w:val="0"/>
      <w:marTop w:val="0"/>
      <w:marBottom w:val="0"/>
      <w:divBdr>
        <w:top w:val="none" w:sz="0" w:space="0" w:color="auto"/>
        <w:left w:val="none" w:sz="0" w:space="0" w:color="auto"/>
        <w:bottom w:val="none" w:sz="0" w:space="0" w:color="auto"/>
        <w:right w:val="none" w:sz="0" w:space="0" w:color="auto"/>
      </w:divBdr>
    </w:div>
    <w:div w:id="1816607313">
      <w:bodyDiv w:val="1"/>
      <w:marLeft w:val="0"/>
      <w:marRight w:val="0"/>
      <w:marTop w:val="0"/>
      <w:marBottom w:val="0"/>
      <w:divBdr>
        <w:top w:val="none" w:sz="0" w:space="0" w:color="auto"/>
        <w:left w:val="none" w:sz="0" w:space="0" w:color="auto"/>
        <w:bottom w:val="none" w:sz="0" w:space="0" w:color="auto"/>
        <w:right w:val="none" w:sz="0" w:space="0" w:color="auto"/>
      </w:divBdr>
    </w:div>
    <w:div w:id="202212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f.ge/images/File/2025_Biujeti/30-12-2024/danartebi/20.Fiscal_Risks_and_SOE_Aggregate_Report_2025%20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2734-497E-4BAC-AA60-EEB3700B0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Gulua</dc:creator>
  <cp:lastModifiedBy>Inga Gurgenidze</cp:lastModifiedBy>
  <cp:revision>3</cp:revision>
  <cp:lastPrinted>2023-03-28T13:50:00Z</cp:lastPrinted>
  <dcterms:created xsi:type="dcterms:W3CDTF">2025-03-25T12:25:00Z</dcterms:created>
  <dcterms:modified xsi:type="dcterms:W3CDTF">2025-03-26T12:35:00Z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484f93b3da7b360b7324e3e133ad90eb3522f4c32586a2a2958e6065b9b37cab</vt:lpwstr>
  </property>
</Properties>
</file>